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D98AA" w14:textId="77777777" w:rsidR="003E2F8E" w:rsidRPr="006B3824" w:rsidRDefault="004E6B60" w:rsidP="004E6B60">
      <w:pPr>
        <w:tabs>
          <w:tab w:val="left" w:pos="360"/>
        </w:tabs>
        <w:jc w:val="center"/>
        <w:rPr>
          <w:rFonts w:ascii="Arial" w:hAnsi="Arial" w:cs="Arial"/>
          <w:sz w:val="20"/>
          <w:szCs w:val="20"/>
        </w:rPr>
      </w:pPr>
      <w:r w:rsidRPr="004E6B60">
        <w:rPr>
          <w:rFonts w:ascii="Arial" w:hAnsi="Arial" w:cs="Arial"/>
          <w:b/>
        </w:rPr>
        <w:t>Quantum Hall Effect in Black Phosphorus Two-dimensional Electron System</w:t>
      </w:r>
    </w:p>
    <w:p w14:paraId="2DA67EDC" w14:textId="23A6B14C" w:rsidR="00DB1EE3" w:rsidRDefault="00DB1EE3" w:rsidP="0049187D">
      <w:pPr>
        <w:tabs>
          <w:tab w:val="left" w:pos="360"/>
        </w:tabs>
        <w:rPr>
          <w:rFonts w:ascii="Arial" w:hAnsi="Arial" w:cs="Arial"/>
          <w:sz w:val="20"/>
          <w:szCs w:val="20"/>
        </w:rPr>
      </w:pPr>
      <w:r>
        <w:rPr>
          <w:rFonts w:ascii="Arial" w:hAnsi="Arial" w:cs="Arial"/>
          <w:sz w:val="20"/>
          <w:szCs w:val="20"/>
        </w:rPr>
        <w:t>Li, L.</w:t>
      </w:r>
      <w:r w:rsidR="002A230D">
        <w:rPr>
          <w:rFonts w:ascii="Arial" w:hAnsi="Arial" w:cs="Arial"/>
          <w:sz w:val="20"/>
          <w:szCs w:val="20"/>
        </w:rPr>
        <w:t>;</w:t>
      </w:r>
      <w:r>
        <w:rPr>
          <w:rFonts w:ascii="Arial" w:hAnsi="Arial" w:cs="Arial"/>
          <w:sz w:val="20"/>
          <w:szCs w:val="20"/>
        </w:rPr>
        <w:t xml:space="preserve"> Yang, F.</w:t>
      </w:r>
      <w:r w:rsidR="002A230D">
        <w:rPr>
          <w:rFonts w:ascii="Arial" w:hAnsi="Arial" w:cs="Arial"/>
          <w:sz w:val="20"/>
          <w:szCs w:val="20"/>
        </w:rPr>
        <w:t>;</w:t>
      </w:r>
      <w:r>
        <w:rPr>
          <w:rFonts w:ascii="Arial" w:hAnsi="Arial" w:cs="Arial"/>
          <w:sz w:val="20"/>
          <w:szCs w:val="20"/>
        </w:rPr>
        <w:t xml:space="preserve"> </w:t>
      </w:r>
      <w:r w:rsidRPr="00DB1EE3">
        <w:rPr>
          <w:rFonts w:ascii="Arial" w:hAnsi="Arial" w:cs="Arial"/>
          <w:sz w:val="20"/>
          <w:szCs w:val="20"/>
          <w:u w:val="single"/>
        </w:rPr>
        <w:t>Zhang, Y</w:t>
      </w:r>
      <w:r w:rsidR="002A230D">
        <w:rPr>
          <w:rFonts w:ascii="Arial" w:hAnsi="Arial" w:cs="Arial"/>
          <w:sz w:val="20"/>
          <w:szCs w:val="20"/>
          <w:u w:val="single"/>
        </w:rPr>
        <w:t>.</w:t>
      </w:r>
      <w:r>
        <w:rPr>
          <w:rFonts w:ascii="Arial" w:hAnsi="Arial" w:cs="Arial"/>
          <w:sz w:val="20"/>
          <w:szCs w:val="20"/>
        </w:rPr>
        <w:t xml:space="preserve"> (</w:t>
      </w:r>
      <w:proofErr w:type="spellStart"/>
      <w:r>
        <w:rPr>
          <w:rFonts w:ascii="Arial" w:hAnsi="Arial" w:cs="Arial"/>
          <w:sz w:val="20"/>
          <w:szCs w:val="20"/>
        </w:rPr>
        <w:t>Fudan</w:t>
      </w:r>
      <w:proofErr w:type="spellEnd"/>
      <w:r>
        <w:rPr>
          <w:rFonts w:ascii="Arial" w:hAnsi="Arial" w:cs="Arial"/>
          <w:sz w:val="20"/>
          <w:szCs w:val="20"/>
        </w:rPr>
        <w:t xml:space="preserve"> University); Ye, G.J. </w:t>
      </w:r>
      <w:r w:rsidR="002A230D">
        <w:rPr>
          <w:rFonts w:ascii="Arial" w:hAnsi="Arial" w:cs="Arial"/>
          <w:sz w:val="20"/>
          <w:szCs w:val="20"/>
        </w:rPr>
        <w:t>;</w:t>
      </w:r>
      <w:r w:rsidRPr="00F01D38">
        <w:rPr>
          <w:rFonts w:ascii="Arial" w:hAnsi="Arial" w:cs="Arial"/>
          <w:sz w:val="20"/>
          <w:szCs w:val="20"/>
        </w:rPr>
        <w:t>Chen, X.H.</w:t>
      </w:r>
      <w:r>
        <w:rPr>
          <w:rFonts w:ascii="Arial" w:hAnsi="Arial" w:cs="Arial"/>
          <w:sz w:val="20"/>
          <w:szCs w:val="20"/>
        </w:rPr>
        <w:t xml:space="preserve"> (University of Science and Technology of China); Zhang, Z.</w:t>
      </w:r>
      <w:r w:rsidR="002A230D">
        <w:rPr>
          <w:rFonts w:ascii="Arial" w:hAnsi="Arial" w:cs="Arial"/>
          <w:sz w:val="20"/>
          <w:szCs w:val="20"/>
        </w:rPr>
        <w:t xml:space="preserve">; </w:t>
      </w:r>
      <w:r w:rsidRPr="00F01D38">
        <w:rPr>
          <w:rFonts w:ascii="Arial" w:hAnsi="Arial" w:cs="Arial"/>
          <w:sz w:val="20"/>
          <w:szCs w:val="20"/>
        </w:rPr>
        <w:t>Wang, Y.</w:t>
      </w:r>
      <w:r>
        <w:rPr>
          <w:rFonts w:ascii="Arial" w:hAnsi="Arial" w:cs="Arial"/>
          <w:sz w:val="20"/>
          <w:szCs w:val="20"/>
        </w:rPr>
        <w:t xml:space="preserve"> (</w:t>
      </w:r>
      <w:proofErr w:type="spellStart"/>
      <w:r>
        <w:rPr>
          <w:rFonts w:ascii="Arial" w:hAnsi="Arial" w:cs="Arial"/>
          <w:sz w:val="20"/>
          <w:szCs w:val="20"/>
        </w:rPr>
        <w:t>Tisnghua</w:t>
      </w:r>
      <w:proofErr w:type="spellEnd"/>
      <w:r>
        <w:rPr>
          <w:rFonts w:ascii="Arial" w:hAnsi="Arial" w:cs="Arial"/>
          <w:sz w:val="20"/>
          <w:szCs w:val="20"/>
        </w:rPr>
        <w:t xml:space="preserve"> University</w:t>
      </w:r>
      <w:r w:rsidR="002A230D">
        <w:rPr>
          <w:rFonts w:ascii="Arial" w:hAnsi="Arial" w:cs="Arial"/>
          <w:sz w:val="20"/>
          <w:szCs w:val="20"/>
        </w:rPr>
        <w:t xml:space="preserve">); Zhu, Z.; </w:t>
      </w:r>
      <w:r w:rsidRPr="00F01D38">
        <w:rPr>
          <w:rFonts w:ascii="Arial" w:hAnsi="Arial" w:cs="Arial"/>
          <w:sz w:val="20"/>
          <w:szCs w:val="20"/>
        </w:rPr>
        <w:t>Li, L</w:t>
      </w:r>
      <w:r>
        <w:rPr>
          <w:rFonts w:ascii="Arial" w:hAnsi="Arial" w:cs="Arial"/>
          <w:sz w:val="20"/>
          <w:szCs w:val="20"/>
        </w:rPr>
        <w:t xml:space="preserve"> (Wuhan National High Magnetic Field Center); Lou, W.</w:t>
      </w:r>
      <w:r w:rsidR="002A230D">
        <w:rPr>
          <w:rFonts w:ascii="Arial" w:hAnsi="Arial" w:cs="Arial"/>
          <w:sz w:val="20"/>
          <w:szCs w:val="20"/>
        </w:rPr>
        <w:t>;</w:t>
      </w:r>
      <w:r>
        <w:rPr>
          <w:rFonts w:ascii="Arial" w:hAnsi="Arial" w:cs="Arial"/>
          <w:sz w:val="20"/>
          <w:szCs w:val="20"/>
        </w:rPr>
        <w:t xml:space="preserve"> Zhou, X.</w:t>
      </w:r>
      <w:r w:rsidR="002A230D">
        <w:rPr>
          <w:rFonts w:ascii="Arial" w:hAnsi="Arial" w:cs="Arial"/>
          <w:sz w:val="20"/>
          <w:szCs w:val="20"/>
        </w:rPr>
        <w:t>;</w:t>
      </w:r>
      <w:r w:rsidRPr="00F01D38">
        <w:rPr>
          <w:rFonts w:ascii="Arial" w:hAnsi="Arial" w:cs="Arial"/>
          <w:sz w:val="20"/>
          <w:szCs w:val="20"/>
        </w:rPr>
        <w:t xml:space="preserve"> Chang, K. (Chinese Academy of Science); Watanabe, K.</w:t>
      </w:r>
      <w:r w:rsidR="002A230D">
        <w:rPr>
          <w:rFonts w:ascii="Arial" w:hAnsi="Arial" w:cs="Arial"/>
          <w:sz w:val="20"/>
          <w:szCs w:val="20"/>
        </w:rPr>
        <w:t xml:space="preserve"> and</w:t>
      </w:r>
      <w:r w:rsidRPr="00F01D38">
        <w:rPr>
          <w:rFonts w:ascii="Arial" w:hAnsi="Arial" w:cs="Arial"/>
          <w:sz w:val="20"/>
          <w:szCs w:val="20"/>
        </w:rPr>
        <w:t xml:space="preserve"> Taniguchi, T</w:t>
      </w:r>
      <w:r w:rsidR="002A230D">
        <w:rPr>
          <w:rFonts w:ascii="Arial" w:hAnsi="Arial" w:cs="Arial"/>
          <w:sz w:val="20"/>
          <w:szCs w:val="20"/>
        </w:rPr>
        <w:t>.</w:t>
      </w:r>
      <w:r>
        <w:rPr>
          <w:rFonts w:ascii="Arial" w:hAnsi="Arial" w:cs="Arial"/>
          <w:sz w:val="20"/>
          <w:szCs w:val="20"/>
        </w:rPr>
        <w:t xml:space="preserve"> (</w:t>
      </w:r>
      <w:r w:rsidR="008A02C2">
        <w:rPr>
          <w:rFonts w:ascii="Arial" w:hAnsi="Arial" w:cs="Arial"/>
          <w:sz w:val="20"/>
          <w:szCs w:val="20"/>
        </w:rPr>
        <w:t>National Institute for material Science, Japan)</w:t>
      </w:r>
    </w:p>
    <w:p w14:paraId="675D943D" w14:textId="77777777" w:rsidR="00A94FC4" w:rsidRPr="006B3824" w:rsidRDefault="00A94FC4" w:rsidP="0049187D">
      <w:pPr>
        <w:pBdr>
          <w:bottom w:val="single" w:sz="12" w:space="1" w:color="auto"/>
        </w:pBdr>
        <w:tabs>
          <w:tab w:val="left" w:pos="360"/>
        </w:tabs>
        <w:rPr>
          <w:rFonts w:ascii="Arial" w:hAnsi="Arial" w:cs="Arial"/>
          <w:sz w:val="20"/>
          <w:szCs w:val="20"/>
        </w:rPr>
      </w:pPr>
    </w:p>
    <w:p w14:paraId="61EB3B1E" w14:textId="77777777" w:rsidR="00A94FC4" w:rsidRPr="002426D5" w:rsidRDefault="00A94FC4" w:rsidP="0049187D">
      <w:pPr>
        <w:tabs>
          <w:tab w:val="left" w:pos="360"/>
        </w:tabs>
        <w:rPr>
          <w:rFonts w:ascii="Arial" w:hAnsi="Arial" w:cs="Arial"/>
          <w:b/>
          <w:sz w:val="20"/>
          <w:szCs w:val="20"/>
        </w:rPr>
      </w:pPr>
      <w:r w:rsidRPr="006B3824">
        <w:rPr>
          <w:rFonts w:ascii="Arial" w:hAnsi="Arial" w:cs="Arial"/>
          <w:b/>
          <w:sz w:val="20"/>
          <w:szCs w:val="20"/>
        </w:rPr>
        <w:t>Introduction</w:t>
      </w:r>
    </w:p>
    <w:p w14:paraId="29385FEE" w14:textId="2DDEA22B" w:rsidR="002524EE" w:rsidRPr="006B3824" w:rsidRDefault="006B3824" w:rsidP="00232C54">
      <w:pPr>
        <w:tabs>
          <w:tab w:val="left" w:pos="360"/>
        </w:tabs>
        <w:jc w:val="both"/>
        <w:rPr>
          <w:rFonts w:ascii="Arial" w:hAnsi="Arial" w:cs="Arial"/>
          <w:sz w:val="20"/>
          <w:szCs w:val="20"/>
        </w:rPr>
      </w:pPr>
      <w:r w:rsidRPr="006B3824">
        <w:rPr>
          <w:rFonts w:ascii="Arial" w:hAnsi="Arial" w:cs="Arial"/>
          <w:sz w:val="20"/>
          <w:szCs w:val="20"/>
        </w:rPr>
        <w:tab/>
      </w:r>
      <w:r w:rsidR="00E536CF" w:rsidRPr="00E536CF">
        <w:rPr>
          <w:rFonts w:ascii="Arial" w:hAnsi="Arial" w:cs="Arial"/>
          <w:sz w:val="20"/>
          <w:szCs w:val="20"/>
        </w:rPr>
        <w:t>Development of new, high quality functional materials has been at the forefront of condensed matter research. The recent advent of two-dimensional black phosphorus has greatly enriched the material base of two-dimensional electron systems (2DES)</w:t>
      </w:r>
      <w:r w:rsidR="00E536CF" w:rsidRPr="00E536CF">
        <w:rPr>
          <w:rFonts w:ascii="Arial" w:hAnsi="Arial" w:cs="Arial"/>
          <w:sz w:val="20"/>
          <w:szCs w:val="20"/>
          <w:vertAlign w:val="superscript"/>
        </w:rPr>
        <w:t>1-3</w:t>
      </w:r>
      <w:r w:rsidR="00E536CF" w:rsidRPr="00E536CF">
        <w:rPr>
          <w:rFonts w:ascii="Arial" w:hAnsi="Arial" w:cs="Arial"/>
          <w:sz w:val="20"/>
          <w:szCs w:val="20"/>
        </w:rPr>
        <w:t>. Here, we reach a milestone in black phosphorus research – the observation of integer quantum Hall (QH) effect in high quality black phosphorus 2DES.</w:t>
      </w:r>
    </w:p>
    <w:p w14:paraId="72C50307" w14:textId="77777777" w:rsidR="00B75DC9" w:rsidRPr="00104C84" w:rsidRDefault="00B75DC9" w:rsidP="0049187D">
      <w:pPr>
        <w:tabs>
          <w:tab w:val="left" w:pos="360"/>
        </w:tabs>
        <w:rPr>
          <w:rFonts w:ascii="Arial" w:hAnsi="Arial" w:cs="Arial"/>
          <w:b/>
          <w:sz w:val="16"/>
          <w:szCs w:val="16"/>
        </w:rPr>
      </w:pPr>
    </w:p>
    <w:p w14:paraId="0B120E05" w14:textId="77777777" w:rsidR="002524EE" w:rsidRPr="006B3824" w:rsidRDefault="002524EE" w:rsidP="0049187D">
      <w:pPr>
        <w:tabs>
          <w:tab w:val="left" w:pos="360"/>
        </w:tabs>
        <w:rPr>
          <w:rFonts w:ascii="Arial" w:hAnsi="Arial" w:cs="Arial"/>
          <w:b/>
          <w:sz w:val="20"/>
          <w:szCs w:val="20"/>
        </w:rPr>
      </w:pPr>
      <w:r w:rsidRPr="006B3824">
        <w:rPr>
          <w:rFonts w:ascii="Arial" w:hAnsi="Arial" w:cs="Arial"/>
          <w:b/>
          <w:sz w:val="20"/>
          <w:szCs w:val="20"/>
        </w:rPr>
        <w:t>Experimental</w:t>
      </w:r>
    </w:p>
    <w:p w14:paraId="4EB08DA3" w14:textId="0D022AED" w:rsidR="00753688" w:rsidRDefault="006B3824" w:rsidP="00232C54">
      <w:pPr>
        <w:tabs>
          <w:tab w:val="left" w:pos="360"/>
        </w:tabs>
        <w:jc w:val="both"/>
        <w:rPr>
          <w:rFonts w:ascii="Arial" w:hAnsi="Arial" w:cs="Arial"/>
          <w:sz w:val="20"/>
          <w:szCs w:val="20"/>
        </w:rPr>
      </w:pPr>
      <w:r>
        <w:rPr>
          <w:rFonts w:ascii="Arial" w:hAnsi="Arial" w:cs="Arial"/>
          <w:sz w:val="20"/>
          <w:szCs w:val="20"/>
        </w:rPr>
        <w:tab/>
      </w:r>
      <w:r w:rsidR="006A331C" w:rsidRPr="006A331C">
        <w:rPr>
          <w:rFonts w:ascii="Arial" w:hAnsi="Arial" w:cs="Arial"/>
          <w:sz w:val="20"/>
          <w:szCs w:val="20"/>
        </w:rPr>
        <w:t xml:space="preserve">We achieve high quality by embedding the black phosphorus 2DES in a van der Waals heterostructure </w:t>
      </w:r>
      <w:r w:rsidR="00753688">
        <w:rPr>
          <w:rFonts w:ascii="Arial" w:hAnsi="Arial" w:cs="Arial"/>
          <w:sz w:val="20"/>
          <w:szCs w:val="20"/>
        </w:rPr>
        <w:t>close to a graphite back gate</w:t>
      </w:r>
      <w:r w:rsidR="006A331C" w:rsidRPr="006A331C">
        <w:rPr>
          <w:rFonts w:ascii="Arial" w:hAnsi="Arial" w:cs="Arial"/>
          <w:sz w:val="20"/>
          <w:szCs w:val="20"/>
        </w:rPr>
        <w:t xml:space="preserve">; the graphite gate screens the impurity potential in the 2DES, and brings the carrier Hall mobility up to 6000 </w:t>
      </w:r>
      <w:r w:rsidR="006A331C">
        <w:rPr>
          <w:rFonts w:ascii="Arial" w:hAnsi="Arial" w:cs="Arial"/>
          <w:sz w:val="20"/>
          <w:szCs w:val="20"/>
        </w:rPr>
        <w:t>cm</w:t>
      </w:r>
      <w:r w:rsidR="006A331C" w:rsidRPr="00753688">
        <w:rPr>
          <w:rFonts w:ascii="Arial" w:hAnsi="Arial" w:cs="Arial"/>
          <w:sz w:val="20"/>
          <w:szCs w:val="20"/>
          <w:vertAlign w:val="superscript"/>
        </w:rPr>
        <w:t>2</w:t>
      </w:r>
      <w:r w:rsidR="006A331C">
        <w:rPr>
          <w:rFonts w:ascii="Arial" w:hAnsi="Arial" w:cs="Arial"/>
          <w:sz w:val="20"/>
          <w:szCs w:val="20"/>
        </w:rPr>
        <w:t>/Vs</w:t>
      </w:r>
      <w:r w:rsidR="00753688">
        <w:rPr>
          <w:rFonts w:ascii="Arial" w:hAnsi="Arial" w:cs="Arial"/>
          <w:sz w:val="20"/>
          <w:szCs w:val="20"/>
        </w:rPr>
        <w:t>.</w:t>
      </w:r>
      <w:r w:rsidR="006A331C" w:rsidRPr="006A331C">
        <w:rPr>
          <w:rFonts w:ascii="Arial" w:hAnsi="Arial" w:cs="Arial"/>
          <w:sz w:val="20"/>
          <w:szCs w:val="20"/>
        </w:rPr>
        <w:t xml:space="preserve"> The exceptional mobility enabled us, for the first time, to observe QH effect, and to gain important information on the energetics of the spin-split Landau levels in black phosphorus.</w:t>
      </w:r>
      <w:r w:rsidR="00753688">
        <w:rPr>
          <w:rFonts w:ascii="Arial" w:hAnsi="Arial" w:cs="Arial"/>
          <w:sz w:val="20"/>
          <w:szCs w:val="20"/>
        </w:rPr>
        <w:t xml:space="preserve"> The transport data was taken at Cell 9 and Cell 15 in NHMFL.</w:t>
      </w:r>
    </w:p>
    <w:p w14:paraId="55B5B56B" w14:textId="6824D71E" w:rsidR="002524EE" w:rsidRPr="00104C84" w:rsidRDefault="002524EE" w:rsidP="0049187D">
      <w:pPr>
        <w:tabs>
          <w:tab w:val="left" w:pos="360"/>
        </w:tabs>
        <w:rPr>
          <w:rFonts w:ascii="Arial" w:hAnsi="Arial" w:cs="Arial"/>
          <w:sz w:val="16"/>
          <w:szCs w:val="16"/>
        </w:rPr>
      </w:pPr>
    </w:p>
    <w:p w14:paraId="36FDADD4" w14:textId="467EC4F2" w:rsidR="002524EE" w:rsidRPr="00ED63BC" w:rsidRDefault="0035482C" w:rsidP="0049187D">
      <w:pPr>
        <w:tabs>
          <w:tab w:val="left" w:pos="360"/>
        </w:tabs>
        <w:rPr>
          <w:rFonts w:ascii="Arial" w:hAnsi="Arial" w:cs="Arial"/>
          <w:b/>
          <w:sz w:val="20"/>
          <w:szCs w:val="20"/>
          <w:vertAlign w:val="subscript"/>
        </w:rPr>
      </w:pPr>
      <w:r>
        <w:rPr>
          <w:rFonts w:ascii="Arial" w:hAnsi="Arial" w:cs="Arial"/>
          <w:noProof/>
          <w:sz w:val="20"/>
          <w:szCs w:val="20"/>
          <w:lang w:eastAsia="en-US"/>
        </w:rPr>
        <w:drawing>
          <wp:anchor distT="0" distB="0" distL="114300" distR="114300" simplePos="0" relativeHeight="251658240" behindDoc="0" locked="0" layoutInCell="1" allowOverlap="1" wp14:anchorId="76E9C8C9" wp14:editId="2C518450">
            <wp:simplePos x="0" y="0"/>
            <wp:positionH relativeFrom="column">
              <wp:posOffset>3192145</wp:posOffset>
            </wp:positionH>
            <wp:positionV relativeFrom="paragraph">
              <wp:posOffset>146861</wp:posOffset>
            </wp:positionV>
            <wp:extent cx="3152775" cy="2680970"/>
            <wp:effectExtent l="0" t="0" r="0" b="1143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s.emf"/>
                    <pic:cNvPicPr/>
                  </pic:nvPicPr>
                  <pic:blipFill>
                    <a:blip r:embed="rId10">
                      <a:extLst>
                        <a:ext uri="{28A0092B-C50C-407E-A947-70E740481C1C}">
                          <a14:useLocalDpi xmlns:a14="http://schemas.microsoft.com/office/drawing/2010/main" val="0"/>
                        </a:ext>
                      </a:extLst>
                    </a:blip>
                    <a:stretch>
                      <a:fillRect/>
                    </a:stretch>
                  </pic:blipFill>
                  <pic:spPr>
                    <a:xfrm>
                      <a:off x="0" y="0"/>
                      <a:ext cx="3152775" cy="2680970"/>
                    </a:xfrm>
                    <a:prstGeom prst="rect">
                      <a:avLst/>
                    </a:prstGeom>
                  </pic:spPr>
                </pic:pic>
              </a:graphicData>
            </a:graphic>
            <wp14:sizeRelH relativeFrom="margin">
              <wp14:pctWidth>0</wp14:pctWidth>
            </wp14:sizeRelH>
            <wp14:sizeRelV relativeFrom="margin">
              <wp14:pctHeight>0</wp14:pctHeight>
            </wp14:sizeRelV>
          </wp:anchor>
        </w:drawing>
      </w:r>
      <w:r w:rsidR="002524EE" w:rsidRPr="006B3824">
        <w:rPr>
          <w:rFonts w:ascii="Arial" w:hAnsi="Arial" w:cs="Arial"/>
          <w:b/>
          <w:sz w:val="20"/>
          <w:szCs w:val="20"/>
        </w:rPr>
        <w:t>Results and Discussion</w:t>
      </w:r>
    </w:p>
    <w:p w14:paraId="4547E987" w14:textId="7F34D599" w:rsidR="00E25473" w:rsidRPr="009E6BCD" w:rsidRDefault="009E6BCD" w:rsidP="00232C54">
      <w:pPr>
        <w:tabs>
          <w:tab w:val="left" w:pos="360"/>
        </w:tabs>
        <w:jc w:val="both"/>
        <w:rPr>
          <w:rFonts w:ascii="Arial" w:hAnsi="Arial" w:cs="Arial"/>
          <w:sz w:val="20"/>
          <w:szCs w:val="20"/>
        </w:rPr>
      </w:pPr>
      <w:r>
        <w:rPr>
          <w:rFonts w:ascii="Arial" w:hAnsi="Arial" w:cs="Arial"/>
          <w:sz w:val="20"/>
          <w:szCs w:val="20"/>
        </w:rPr>
        <w:tab/>
        <w:t>The figure on the right displays the magnetoresistance (</w:t>
      </w:r>
      <w:proofErr w:type="spellStart"/>
      <w:r w:rsidRPr="009E6BCD">
        <w:rPr>
          <w:rFonts w:ascii="Arial" w:hAnsi="Arial" w:cs="Arial"/>
          <w:sz w:val="20"/>
          <w:szCs w:val="20"/>
        </w:rPr>
        <w:t>R</w:t>
      </w:r>
      <w:r w:rsidRPr="009E6BCD">
        <w:rPr>
          <w:rFonts w:ascii="Arial" w:hAnsi="Arial" w:cs="Arial"/>
          <w:sz w:val="20"/>
          <w:szCs w:val="20"/>
          <w:vertAlign w:val="subscript"/>
        </w:rPr>
        <w:t>xx</w:t>
      </w:r>
      <w:proofErr w:type="spellEnd"/>
      <w:r>
        <w:rPr>
          <w:rFonts w:ascii="Arial" w:hAnsi="Arial" w:cs="Arial"/>
          <w:sz w:val="20"/>
          <w:szCs w:val="20"/>
        </w:rPr>
        <w:t>) and Hall resistance (</w:t>
      </w:r>
      <w:proofErr w:type="spellStart"/>
      <w:r w:rsidRPr="009E6BCD">
        <w:rPr>
          <w:rFonts w:ascii="Arial" w:hAnsi="Arial" w:cs="Arial"/>
          <w:sz w:val="20"/>
          <w:szCs w:val="20"/>
        </w:rPr>
        <w:t>R</w:t>
      </w:r>
      <w:r w:rsidRPr="009E6BCD">
        <w:rPr>
          <w:rFonts w:ascii="Arial" w:hAnsi="Arial" w:cs="Arial"/>
          <w:sz w:val="20"/>
          <w:szCs w:val="20"/>
          <w:vertAlign w:val="subscript"/>
        </w:rPr>
        <w:t>xy</w:t>
      </w:r>
      <w:proofErr w:type="spellEnd"/>
      <w:r>
        <w:rPr>
          <w:rFonts w:ascii="Arial" w:hAnsi="Arial" w:cs="Arial"/>
          <w:sz w:val="20"/>
          <w:szCs w:val="20"/>
        </w:rPr>
        <w:t>) measured in high magnetic field at low temperatures. Panel</w:t>
      </w:r>
      <w:r w:rsidR="002507E2" w:rsidRPr="009E6BCD">
        <w:rPr>
          <w:rFonts w:ascii="Arial" w:hAnsi="Arial" w:cs="Arial"/>
          <w:sz w:val="20"/>
          <w:szCs w:val="20"/>
        </w:rPr>
        <w:t xml:space="preserve"> </w:t>
      </w:r>
      <w:r w:rsidR="002507E2" w:rsidRPr="007044EE">
        <w:rPr>
          <w:rFonts w:ascii="Arial" w:hAnsi="Arial" w:cs="Arial"/>
          <w:b/>
          <w:sz w:val="20"/>
          <w:szCs w:val="20"/>
        </w:rPr>
        <w:t>a</w:t>
      </w:r>
      <w:r>
        <w:rPr>
          <w:rFonts w:ascii="Arial" w:hAnsi="Arial" w:cs="Arial"/>
          <w:sz w:val="20"/>
          <w:szCs w:val="20"/>
        </w:rPr>
        <w:t xml:space="preserve"> shows </w:t>
      </w:r>
      <w:proofErr w:type="spellStart"/>
      <w:r w:rsidRPr="009E6BCD">
        <w:rPr>
          <w:rFonts w:ascii="Arial" w:hAnsi="Arial" w:cs="Arial"/>
          <w:sz w:val="20"/>
          <w:szCs w:val="20"/>
        </w:rPr>
        <w:t>R</w:t>
      </w:r>
      <w:r w:rsidRPr="009E6BCD">
        <w:rPr>
          <w:rFonts w:ascii="Arial" w:hAnsi="Arial" w:cs="Arial"/>
          <w:sz w:val="20"/>
          <w:szCs w:val="20"/>
          <w:vertAlign w:val="subscript"/>
        </w:rPr>
        <w:t>xx</w:t>
      </w:r>
      <w:proofErr w:type="spellEnd"/>
      <w:r w:rsidR="002507E2" w:rsidRPr="009E6BCD">
        <w:rPr>
          <w:rFonts w:ascii="Arial" w:hAnsi="Arial" w:cs="Arial"/>
          <w:sz w:val="20"/>
          <w:szCs w:val="20"/>
        </w:rPr>
        <w:t xml:space="preserve"> (black) and </w:t>
      </w:r>
      <w:proofErr w:type="spellStart"/>
      <w:r w:rsidRPr="009E6BCD">
        <w:rPr>
          <w:rFonts w:ascii="Arial" w:hAnsi="Arial" w:cs="Arial"/>
          <w:sz w:val="20"/>
          <w:szCs w:val="20"/>
        </w:rPr>
        <w:t>R</w:t>
      </w:r>
      <w:r w:rsidRPr="009E6BCD">
        <w:rPr>
          <w:rFonts w:ascii="Arial" w:hAnsi="Arial" w:cs="Arial"/>
          <w:sz w:val="20"/>
          <w:szCs w:val="20"/>
          <w:vertAlign w:val="subscript"/>
        </w:rPr>
        <w:t>xy</w:t>
      </w:r>
      <w:proofErr w:type="spellEnd"/>
      <w:r>
        <w:rPr>
          <w:rFonts w:ascii="Arial" w:hAnsi="Arial" w:cs="Arial"/>
          <w:sz w:val="20"/>
          <w:szCs w:val="20"/>
        </w:rPr>
        <w:t xml:space="preserve"> </w:t>
      </w:r>
      <w:r w:rsidR="002507E2" w:rsidRPr="009E6BCD">
        <w:rPr>
          <w:rFonts w:ascii="Arial" w:hAnsi="Arial" w:cs="Arial"/>
          <w:sz w:val="20"/>
          <w:szCs w:val="20"/>
        </w:rPr>
        <w:t>(red) measured as a function of V</w:t>
      </w:r>
      <w:r w:rsidR="002507E2" w:rsidRPr="009E6BCD">
        <w:rPr>
          <w:rFonts w:ascii="Arial" w:hAnsi="Arial" w:cs="Arial"/>
          <w:sz w:val="20"/>
          <w:szCs w:val="20"/>
          <w:vertAlign w:val="subscript"/>
        </w:rPr>
        <w:t>g</w:t>
      </w:r>
      <w:r w:rsidR="002507E2" w:rsidRPr="009E6BCD">
        <w:rPr>
          <w:rFonts w:ascii="Arial" w:hAnsi="Arial" w:cs="Arial"/>
          <w:sz w:val="20"/>
          <w:szCs w:val="20"/>
        </w:rPr>
        <w:t xml:space="preserve"> with magnetic field fixed at B = 31 T. Filling factor of each QH state is indicated in the figure. Inset: Schematic three-dimensional view of th</w:t>
      </w:r>
      <w:r w:rsidR="007044EE">
        <w:rPr>
          <w:rFonts w:ascii="Arial" w:hAnsi="Arial" w:cs="Arial"/>
          <w:sz w:val="20"/>
          <w:szCs w:val="20"/>
        </w:rPr>
        <w:t>e device heterostructure</w:t>
      </w:r>
      <w:r w:rsidR="002507E2" w:rsidRPr="009E6BCD">
        <w:rPr>
          <w:rFonts w:ascii="Arial" w:hAnsi="Arial" w:cs="Arial"/>
          <w:sz w:val="20"/>
          <w:szCs w:val="20"/>
        </w:rPr>
        <w:t xml:space="preserve">. </w:t>
      </w:r>
      <w:r w:rsidR="007044EE">
        <w:rPr>
          <w:rFonts w:ascii="Arial" w:hAnsi="Arial" w:cs="Arial"/>
          <w:sz w:val="20"/>
          <w:szCs w:val="20"/>
        </w:rPr>
        <w:t xml:space="preserve">Panel </w:t>
      </w:r>
      <w:r w:rsidR="002507E2" w:rsidRPr="007044EE">
        <w:rPr>
          <w:rFonts w:ascii="Arial" w:hAnsi="Arial" w:cs="Arial"/>
          <w:b/>
          <w:sz w:val="20"/>
          <w:szCs w:val="20"/>
        </w:rPr>
        <w:t>b</w:t>
      </w:r>
      <w:r w:rsidR="007044EE">
        <w:rPr>
          <w:rFonts w:ascii="Arial" w:hAnsi="Arial" w:cs="Arial"/>
          <w:sz w:val="20"/>
          <w:szCs w:val="20"/>
        </w:rPr>
        <w:t>:</w:t>
      </w:r>
      <w:r w:rsidR="002507E2" w:rsidRPr="009E6BCD">
        <w:rPr>
          <w:rFonts w:ascii="Arial" w:hAnsi="Arial" w:cs="Arial"/>
          <w:sz w:val="20"/>
          <w:szCs w:val="20"/>
        </w:rPr>
        <w:t xml:space="preserve"> Hall resistance (upper panel) and magnetoresistance (lower panel) as a function of magnetic field measured at varying hole doping levels (V</w:t>
      </w:r>
      <w:r w:rsidR="002507E2" w:rsidRPr="009E6BCD">
        <w:rPr>
          <w:rFonts w:ascii="Arial" w:hAnsi="Arial" w:cs="Arial"/>
          <w:sz w:val="20"/>
          <w:szCs w:val="20"/>
          <w:vertAlign w:val="subscript"/>
        </w:rPr>
        <w:t>g</w:t>
      </w:r>
      <w:r w:rsidR="002507E2" w:rsidRPr="009E6BCD">
        <w:rPr>
          <w:rFonts w:ascii="Arial" w:hAnsi="Arial" w:cs="Arial"/>
          <w:sz w:val="20"/>
          <w:szCs w:val="20"/>
        </w:rPr>
        <w:t xml:space="preserve"> &lt;0). All data were taken at T=300 </w:t>
      </w:r>
      <w:proofErr w:type="spellStart"/>
      <w:r w:rsidR="002507E2" w:rsidRPr="009E6BCD">
        <w:rPr>
          <w:rFonts w:ascii="Arial" w:hAnsi="Arial" w:cs="Arial"/>
          <w:sz w:val="20"/>
          <w:szCs w:val="20"/>
        </w:rPr>
        <w:t>mK.</w:t>
      </w:r>
      <w:proofErr w:type="spellEnd"/>
      <w:r w:rsidR="007044EE">
        <w:rPr>
          <w:rFonts w:ascii="Arial" w:hAnsi="Arial" w:cs="Arial"/>
          <w:sz w:val="20"/>
          <w:szCs w:val="20"/>
        </w:rPr>
        <w:t xml:space="preserve"> </w:t>
      </w:r>
      <w:r w:rsidR="00852F7E">
        <w:rPr>
          <w:rFonts w:ascii="Arial" w:hAnsi="Arial" w:cs="Arial"/>
          <w:sz w:val="20"/>
          <w:szCs w:val="20"/>
        </w:rPr>
        <w:t xml:space="preserve">Additional angle-dependent magneto-transport measurements indicate that </w:t>
      </w:r>
      <w:r w:rsidR="00852F7E" w:rsidRPr="00902CF3">
        <w:rPr>
          <w:rFonts w:ascii="Arial" w:hAnsi="Arial" w:cs="Arial"/>
          <w:sz w:val="20"/>
          <w:szCs w:val="20"/>
        </w:rPr>
        <w:t>Zeeman energy is a significant fraction of the cyclotron energy in black phosphorus 2DHG</w:t>
      </w:r>
      <w:r w:rsidR="00852F7E">
        <w:rPr>
          <w:rFonts w:ascii="Arial" w:hAnsi="Arial" w:cs="Arial"/>
          <w:sz w:val="20"/>
          <w:szCs w:val="20"/>
        </w:rPr>
        <w:t>.</w:t>
      </w:r>
    </w:p>
    <w:p w14:paraId="72D6C318" w14:textId="77777777" w:rsidR="00E25473" w:rsidRPr="00104C84" w:rsidRDefault="00E25473" w:rsidP="0049187D">
      <w:pPr>
        <w:tabs>
          <w:tab w:val="left" w:pos="360"/>
        </w:tabs>
        <w:rPr>
          <w:rFonts w:ascii="Arial" w:hAnsi="Arial" w:cs="Arial"/>
          <w:sz w:val="16"/>
          <w:szCs w:val="16"/>
        </w:rPr>
      </w:pPr>
      <w:bookmarkStart w:id="0" w:name="_GoBack"/>
      <w:bookmarkEnd w:id="0"/>
    </w:p>
    <w:p w14:paraId="340774DE" w14:textId="77777777" w:rsidR="00E25473" w:rsidRPr="006B3824" w:rsidRDefault="00E25473" w:rsidP="0049187D">
      <w:pPr>
        <w:tabs>
          <w:tab w:val="left" w:pos="360"/>
        </w:tabs>
        <w:rPr>
          <w:rFonts w:ascii="Arial" w:hAnsi="Arial" w:cs="Arial"/>
          <w:sz w:val="20"/>
          <w:szCs w:val="20"/>
        </w:rPr>
      </w:pPr>
      <w:r w:rsidRPr="006B3824">
        <w:rPr>
          <w:rFonts w:ascii="Arial" w:hAnsi="Arial" w:cs="Arial"/>
          <w:b/>
          <w:sz w:val="20"/>
          <w:szCs w:val="20"/>
        </w:rPr>
        <w:t>Conclusions</w:t>
      </w:r>
    </w:p>
    <w:p w14:paraId="1D1B39F3" w14:textId="2129CBFF" w:rsidR="00E25473" w:rsidRDefault="006B3824" w:rsidP="00232C54">
      <w:pPr>
        <w:tabs>
          <w:tab w:val="left" w:pos="360"/>
        </w:tabs>
        <w:jc w:val="both"/>
        <w:rPr>
          <w:rFonts w:ascii="Arial" w:hAnsi="Arial" w:cs="Arial"/>
          <w:sz w:val="20"/>
          <w:szCs w:val="20"/>
        </w:rPr>
      </w:pPr>
      <w:r>
        <w:rPr>
          <w:rFonts w:ascii="Arial" w:hAnsi="Arial" w:cs="Arial"/>
          <w:sz w:val="20"/>
          <w:szCs w:val="20"/>
        </w:rPr>
        <w:tab/>
      </w:r>
      <w:r w:rsidR="0045148E">
        <w:rPr>
          <w:rFonts w:ascii="Arial" w:hAnsi="Arial" w:cs="Arial"/>
          <w:sz w:val="20"/>
          <w:szCs w:val="20"/>
        </w:rPr>
        <w:t>W</w:t>
      </w:r>
      <w:r w:rsidR="00902CF3" w:rsidRPr="00902CF3">
        <w:rPr>
          <w:rFonts w:ascii="Arial" w:hAnsi="Arial" w:cs="Arial"/>
          <w:sz w:val="20"/>
          <w:szCs w:val="20"/>
        </w:rPr>
        <w:t>e have achieved exceptionally high carrier mo</w:t>
      </w:r>
      <w:r w:rsidR="0045148E">
        <w:rPr>
          <w:rFonts w:ascii="Arial" w:hAnsi="Arial" w:cs="Arial"/>
          <w:sz w:val="20"/>
          <w:szCs w:val="20"/>
        </w:rPr>
        <w:t xml:space="preserve">bility in black phosphorus 2DHG, which </w:t>
      </w:r>
      <w:r w:rsidR="00902CF3" w:rsidRPr="00902CF3">
        <w:rPr>
          <w:rFonts w:ascii="Arial" w:hAnsi="Arial" w:cs="Arial"/>
          <w:sz w:val="20"/>
          <w:szCs w:val="20"/>
        </w:rPr>
        <w:t>enabled us, for the first time, to observe the integer QH effect in black phosphorus. The large Zeeman energy relative to cyclotron energy, coupled with black phosphorus’s anisotropic electronic structure, may lead to exotic quantum states in the fractional QH regime.</w:t>
      </w:r>
    </w:p>
    <w:p w14:paraId="388AD5D3" w14:textId="77777777" w:rsidR="00734E94" w:rsidRPr="00104C84" w:rsidRDefault="00734E94" w:rsidP="0049187D">
      <w:pPr>
        <w:tabs>
          <w:tab w:val="left" w:pos="360"/>
        </w:tabs>
        <w:rPr>
          <w:rFonts w:ascii="Arial" w:hAnsi="Arial" w:cs="Arial"/>
          <w:sz w:val="16"/>
          <w:szCs w:val="16"/>
        </w:rPr>
      </w:pPr>
    </w:p>
    <w:p w14:paraId="4139E27C" w14:textId="77777777" w:rsidR="00FB4399" w:rsidRDefault="00E25473" w:rsidP="00FB4399">
      <w:pPr>
        <w:tabs>
          <w:tab w:val="left" w:pos="360"/>
        </w:tabs>
        <w:rPr>
          <w:rFonts w:ascii="Arial" w:hAnsi="Arial" w:cs="Arial"/>
          <w:b/>
          <w:sz w:val="20"/>
          <w:szCs w:val="20"/>
        </w:rPr>
      </w:pPr>
      <w:r w:rsidRPr="006B3824">
        <w:rPr>
          <w:rFonts w:ascii="Arial" w:hAnsi="Arial" w:cs="Arial"/>
          <w:b/>
          <w:sz w:val="20"/>
          <w:szCs w:val="20"/>
        </w:rPr>
        <w:t>Acknowledgements</w:t>
      </w:r>
    </w:p>
    <w:p w14:paraId="2DD5F9AF" w14:textId="7A24F67E" w:rsidR="00FB4399" w:rsidRPr="00491C5D" w:rsidRDefault="00FB4399" w:rsidP="00232C54">
      <w:pPr>
        <w:tabs>
          <w:tab w:val="left" w:pos="360"/>
        </w:tabs>
        <w:jc w:val="both"/>
        <w:rPr>
          <w:rFonts w:ascii="Arial" w:eastAsia="Times New Roman" w:hAnsi="Arial" w:cs="Arial"/>
          <w:sz w:val="20"/>
          <w:szCs w:val="20"/>
          <w:lang w:eastAsia="en-US"/>
        </w:rPr>
      </w:pPr>
      <w:r>
        <w:rPr>
          <w:rFonts w:ascii="Arial" w:eastAsia="Times New Roman" w:hAnsi="Arial" w:cs="Arial"/>
          <w:sz w:val="20"/>
          <w:szCs w:val="20"/>
          <w:lang w:eastAsia="en-US"/>
        </w:rPr>
        <w:tab/>
      </w:r>
      <w:r w:rsidRPr="00334CEB">
        <w:rPr>
          <w:rFonts w:ascii="Arial" w:eastAsia="Times New Roman" w:hAnsi="Arial" w:cs="Arial"/>
          <w:sz w:val="20"/>
          <w:szCs w:val="20"/>
          <w:lang w:eastAsia="en-US"/>
        </w:rPr>
        <w:t>A portion of this work was performed at the National High Magnetic Field Laboratory, which is supported by National Science Foundation Coopera</w:t>
      </w:r>
      <w:r w:rsidR="003A1FF5">
        <w:rPr>
          <w:rFonts w:ascii="Arial" w:eastAsia="Times New Roman" w:hAnsi="Arial" w:cs="Arial"/>
          <w:sz w:val="20"/>
          <w:szCs w:val="20"/>
          <w:lang w:eastAsia="en-US"/>
        </w:rPr>
        <w:t>tive Agreement No. DMR-1157490</w:t>
      </w:r>
      <w:r w:rsidR="00A758E6">
        <w:rPr>
          <w:rFonts w:ascii="Arial" w:eastAsia="Times New Roman" w:hAnsi="Arial" w:cs="Arial"/>
          <w:sz w:val="20"/>
          <w:szCs w:val="20"/>
          <w:lang w:eastAsia="en-US"/>
        </w:rPr>
        <w:t xml:space="preserve"> and </w:t>
      </w:r>
      <w:r w:rsidRPr="00334CEB">
        <w:rPr>
          <w:rFonts w:ascii="Arial" w:eastAsia="Times New Roman" w:hAnsi="Arial" w:cs="Arial"/>
          <w:sz w:val="20"/>
          <w:szCs w:val="20"/>
          <w:lang w:eastAsia="en-US"/>
        </w:rPr>
        <w:t>the Stat</w:t>
      </w:r>
      <w:r w:rsidR="00334CEB">
        <w:rPr>
          <w:rFonts w:ascii="Arial" w:eastAsia="Times New Roman" w:hAnsi="Arial" w:cs="Arial"/>
          <w:sz w:val="20"/>
          <w:szCs w:val="20"/>
          <w:lang w:eastAsia="en-US"/>
        </w:rPr>
        <w:t>e of Florida</w:t>
      </w:r>
      <w:r w:rsidR="00960DE5">
        <w:rPr>
          <w:rFonts w:ascii="Arial" w:eastAsia="Times New Roman" w:hAnsi="Arial" w:cs="Arial"/>
          <w:sz w:val="20"/>
          <w:szCs w:val="20"/>
          <w:lang w:eastAsia="en-US"/>
        </w:rPr>
        <w:t>.</w:t>
      </w:r>
      <w:r w:rsidRPr="00FB4399">
        <w:rPr>
          <w:rFonts w:ascii="Arial" w:hAnsi="Arial" w:cs="Arial"/>
          <w:sz w:val="20"/>
          <w:szCs w:val="20"/>
        </w:rPr>
        <w:t xml:space="preserve"> </w:t>
      </w:r>
      <w:r w:rsidR="00960DE5" w:rsidRPr="00960DE5">
        <w:rPr>
          <w:rFonts w:ascii="Arial" w:hAnsi="Arial" w:cs="Arial"/>
          <w:sz w:val="20"/>
          <w:szCs w:val="20"/>
        </w:rPr>
        <w:t>L.L., F. Y. and Y.Z. acknowledge financial support from the National Basic Research Program of China (973 Program; grant nos. 2011CB921802 and 2013CB921902), and NSF of China (grant no. 11425415). L.L. and Y.Z. also acknowledge support from Samsung Global Research Outreach (GRO) Program. G.J.Y and X.H.C. acknowledge support from the ‘Strategic Priority Research Program’ of the Chinese Academy of Sciences (grant no. XDB04040100) and the National Basic Research Program of China (973 Program; grant no. 2012CB922002). Z.Z. and Y.W. are supported by Ministry of Science and Technology of China (grant no. 2015CB921000). W.L. and K.C. acknowledge support from NSF of China (grant no. 11434010). K.W. and T.T. acknowledge support from the Elemental Strategy Initiative conducted by the MEXT, Japan. T.T. also acknowledges support by a Grant-in-Aid for Scientific Research on Innovative Areas, “Nano Informatics” (grant nos. 262480621 and 25106006) from JSPS.</w:t>
      </w:r>
    </w:p>
    <w:p w14:paraId="04D88366" w14:textId="77777777" w:rsidR="00E25473" w:rsidRPr="00104C84" w:rsidRDefault="00E25473" w:rsidP="0049187D">
      <w:pPr>
        <w:tabs>
          <w:tab w:val="left" w:pos="360"/>
        </w:tabs>
        <w:rPr>
          <w:rFonts w:ascii="Arial" w:hAnsi="Arial" w:cs="Arial"/>
          <w:sz w:val="16"/>
          <w:szCs w:val="16"/>
        </w:rPr>
      </w:pPr>
    </w:p>
    <w:p w14:paraId="013584D9" w14:textId="77777777" w:rsidR="00E25473" w:rsidRPr="006B3824" w:rsidRDefault="00E25473" w:rsidP="0049187D">
      <w:pPr>
        <w:tabs>
          <w:tab w:val="left" w:pos="360"/>
        </w:tabs>
        <w:rPr>
          <w:rFonts w:ascii="Arial" w:hAnsi="Arial" w:cs="Arial"/>
          <w:b/>
          <w:sz w:val="20"/>
          <w:szCs w:val="20"/>
        </w:rPr>
      </w:pPr>
      <w:r w:rsidRPr="006B3824">
        <w:rPr>
          <w:rFonts w:ascii="Arial" w:hAnsi="Arial" w:cs="Arial"/>
          <w:b/>
          <w:sz w:val="20"/>
          <w:szCs w:val="20"/>
        </w:rPr>
        <w:t>References</w:t>
      </w:r>
    </w:p>
    <w:p w14:paraId="65FC63E0" w14:textId="04EF52D7" w:rsidR="00902CF3" w:rsidRPr="006B5476" w:rsidRDefault="00902CF3" w:rsidP="00902CF3">
      <w:pPr>
        <w:tabs>
          <w:tab w:val="left" w:pos="360"/>
        </w:tabs>
        <w:rPr>
          <w:rFonts w:ascii="Arial" w:eastAsia="Times New Roman" w:hAnsi="Arial" w:cs="Arial"/>
          <w:sz w:val="20"/>
          <w:szCs w:val="20"/>
          <w:lang w:eastAsia="en-US"/>
        </w:rPr>
      </w:pPr>
      <w:r>
        <w:rPr>
          <w:rFonts w:ascii="Arial" w:eastAsia="Times New Roman" w:hAnsi="Arial" w:cs="Arial"/>
          <w:sz w:val="20"/>
          <w:szCs w:val="20"/>
          <w:lang w:eastAsia="en-US"/>
        </w:rPr>
        <w:t>[1]</w:t>
      </w:r>
      <w:r w:rsidRPr="006B5476">
        <w:rPr>
          <w:rFonts w:ascii="Arial" w:eastAsia="Times New Roman" w:hAnsi="Arial" w:cs="Arial"/>
          <w:sz w:val="20"/>
          <w:szCs w:val="20"/>
          <w:lang w:eastAsia="en-US"/>
        </w:rPr>
        <w:fldChar w:fldCharType="begin"/>
      </w:r>
      <w:r>
        <w:rPr>
          <w:rFonts w:ascii="Arial" w:eastAsia="Times New Roman" w:hAnsi="Arial" w:cs="Arial"/>
          <w:sz w:val="20"/>
          <w:szCs w:val="20"/>
          <w:lang w:eastAsia="en-US"/>
        </w:rPr>
        <w:instrText xml:space="preserve"> ADDIN ZOTERO_BIBL {"custom":[]} </w:instrText>
      </w:r>
      <w:r w:rsidRPr="006B5476">
        <w:rPr>
          <w:rFonts w:ascii="Arial" w:eastAsia="Times New Roman" w:hAnsi="Arial" w:cs="Arial"/>
          <w:sz w:val="20"/>
          <w:szCs w:val="20"/>
          <w:lang w:eastAsia="en-US"/>
        </w:rPr>
        <w:fldChar w:fldCharType="separate"/>
      </w:r>
      <w:r>
        <w:rPr>
          <w:rFonts w:ascii="Arial" w:eastAsia="Times New Roman" w:hAnsi="Arial" w:cs="Arial"/>
          <w:sz w:val="20"/>
          <w:szCs w:val="20"/>
          <w:lang w:eastAsia="en-US"/>
        </w:rPr>
        <w:t xml:space="preserve"> Li, L. et al. Nature Nanotechnology</w:t>
      </w:r>
      <w:r w:rsidRPr="006B5476">
        <w:rPr>
          <w:rFonts w:ascii="Arial" w:eastAsia="Times New Roman" w:hAnsi="Arial" w:cs="Arial"/>
          <w:sz w:val="20"/>
          <w:szCs w:val="20"/>
          <w:lang w:eastAsia="en-US"/>
        </w:rPr>
        <w:t xml:space="preserve"> 9, 372–377 (2014).</w:t>
      </w:r>
    </w:p>
    <w:p w14:paraId="1E907ED7" w14:textId="77777777" w:rsidR="00902CF3" w:rsidRPr="006B5476" w:rsidRDefault="00902CF3" w:rsidP="00902CF3">
      <w:pPr>
        <w:tabs>
          <w:tab w:val="left" w:pos="360"/>
        </w:tabs>
        <w:rPr>
          <w:rFonts w:ascii="Arial" w:eastAsia="Times New Roman" w:hAnsi="Arial" w:cs="Arial"/>
          <w:sz w:val="20"/>
          <w:szCs w:val="20"/>
          <w:lang w:eastAsia="en-US"/>
        </w:rPr>
      </w:pPr>
      <w:r>
        <w:rPr>
          <w:rFonts w:ascii="Arial" w:eastAsia="Times New Roman" w:hAnsi="Arial" w:cs="Arial"/>
          <w:sz w:val="20"/>
          <w:szCs w:val="20"/>
          <w:lang w:eastAsia="en-US"/>
        </w:rPr>
        <w:t xml:space="preserve">[2] </w:t>
      </w:r>
      <w:r w:rsidRPr="006B5476">
        <w:rPr>
          <w:rFonts w:ascii="Arial" w:eastAsia="Times New Roman" w:hAnsi="Arial" w:cs="Arial"/>
          <w:sz w:val="20"/>
          <w:szCs w:val="20"/>
          <w:lang w:eastAsia="en-US"/>
        </w:rPr>
        <w:t>Liu, H. et al. ACS Nano 8, 4033–4041 (2014).</w:t>
      </w:r>
    </w:p>
    <w:p w14:paraId="327CAF0A" w14:textId="3497B249" w:rsidR="00F908F6" w:rsidRPr="006B3824" w:rsidRDefault="00902CF3" w:rsidP="0049187D">
      <w:pPr>
        <w:tabs>
          <w:tab w:val="left" w:pos="360"/>
        </w:tabs>
        <w:rPr>
          <w:rFonts w:ascii="Arial" w:hAnsi="Arial" w:cs="Arial"/>
          <w:sz w:val="20"/>
          <w:szCs w:val="20"/>
        </w:rPr>
      </w:pPr>
      <w:r>
        <w:rPr>
          <w:rFonts w:ascii="Arial" w:eastAsia="Times New Roman" w:hAnsi="Arial" w:cs="Arial"/>
          <w:sz w:val="20"/>
          <w:szCs w:val="20"/>
          <w:lang w:eastAsia="en-US"/>
        </w:rPr>
        <w:t>[3] Li, L.</w:t>
      </w:r>
      <w:r w:rsidRPr="006B5476">
        <w:rPr>
          <w:rFonts w:ascii="Arial" w:eastAsia="Times New Roman" w:hAnsi="Arial" w:cs="Arial"/>
          <w:sz w:val="20"/>
          <w:szCs w:val="20"/>
          <w:lang w:eastAsia="en-US"/>
        </w:rPr>
        <w:t xml:space="preserve"> et al. </w:t>
      </w:r>
      <w:r>
        <w:rPr>
          <w:rFonts w:ascii="Arial" w:eastAsia="Times New Roman" w:hAnsi="Arial" w:cs="Arial"/>
          <w:sz w:val="20"/>
          <w:szCs w:val="20"/>
          <w:lang w:eastAsia="en-US"/>
        </w:rPr>
        <w:t>Nature Nanotechnology</w:t>
      </w:r>
      <w:r w:rsidRPr="006B5476">
        <w:rPr>
          <w:rFonts w:ascii="Arial" w:eastAsia="Times New Roman" w:hAnsi="Arial" w:cs="Arial"/>
          <w:sz w:val="20"/>
          <w:szCs w:val="20"/>
          <w:lang w:eastAsia="en-US"/>
        </w:rPr>
        <w:t xml:space="preserve"> </w:t>
      </w:r>
      <w:r w:rsidR="00960DE5" w:rsidRPr="00960DE5">
        <w:rPr>
          <w:rFonts w:ascii="Arial" w:eastAsia="Times New Roman" w:hAnsi="Arial" w:cs="Arial"/>
          <w:sz w:val="20"/>
          <w:szCs w:val="20"/>
          <w:lang w:eastAsia="en-US"/>
        </w:rPr>
        <w:t>10, 608–613 (2015)</w:t>
      </w:r>
      <w:r w:rsidR="0045148E">
        <w:rPr>
          <w:rFonts w:ascii="Arial" w:eastAsia="Times New Roman" w:hAnsi="Arial" w:cs="Arial"/>
          <w:sz w:val="20"/>
          <w:szCs w:val="20"/>
          <w:lang w:eastAsia="en-US"/>
        </w:rPr>
        <w:t>.</w:t>
      </w:r>
      <w:r w:rsidRPr="006B5476">
        <w:rPr>
          <w:rFonts w:ascii="Arial" w:eastAsia="Times New Roman" w:hAnsi="Arial" w:cs="Arial"/>
          <w:sz w:val="20"/>
          <w:szCs w:val="20"/>
          <w:lang w:eastAsia="en-US"/>
        </w:rPr>
        <w:fldChar w:fldCharType="end"/>
      </w:r>
    </w:p>
    <w:sectPr w:rsidR="00F908F6" w:rsidRPr="006B3824" w:rsidSect="00450C97">
      <w:headerReference w:type="even" r:id="rId11"/>
      <w:headerReference w:type="default" r:id="rId12"/>
      <w:footerReference w:type="even" r:id="rId13"/>
      <w:footerReference w:type="default" r:id="rId14"/>
      <w:headerReference w:type="first" r:id="rId15"/>
      <w:footerReference w:type="first" r:id="rId16"/>
      <w:pgSz w:w="12240" w:h="15840" w:code="1"/>
      <w:pgMar w:top="1155" w:right="1080" w:bottom="108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A8CB7" w14:textId="77777777" w:rsidR="00DC0402" w:rsidRDefault="00DC0402">
      <w:r>
        <w:separator/>
      </w:r>
    </w:p>
  </w:endnote>
  <w:endnote w:type="continuationSeparator" w:id="0">
    <w:p w14:paraId="2B5E2CC2" w14:textId="77777777" w:rsidR="00DC0402" w:rsidRDefault="00DC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3BF77" w14:textId="77777777" w:rsidR="008A1D84" w:rsidRDefault="008A1D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C19CD" w14:textId="77777777" w:rsidR="008A1D84" w:rsidRDefault="008A1D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6347A" w14:textId="77777777" w:rsidR="008A1D84" w:rsidRDefault="008A1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4F610" w14:textId="77777777" w:rsidR="00DC0402" w:rsidRDefault="00DC0402">
      <w:r>
        <w:separator/>
      </w:r>
    </w:p>
  </w:footnote>
  <w:footnote w:type="continuationSeparator" w:id="0">
    <w:p w14:paraId="612EC873" w14:textId="77777777" w:rsidR="00DC0402" w:rsidRDefault="00DC0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CD410" w14:textId="77777777" w:rsidR="008A1D84" w:rsidRDefault="008A1D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3A064" w14:textId="77777777" w:rsidR="00F974C6" w:rsidRDefault="00753688" w:rsidP="00F974C6">
    <w:pPr>
      <w:pStyle w:val="Header"/>
      <w:rPr>
        <w:rStyle w:val="BookTitle1"/>
        <w:rFonts w:ascii="Arial" w:hAnsi="Arial" w:cs="Arial"/>
        <w:color w:val="1F497D"/>
        <w:sz w:val="22"/>
        <w:szCs w:val="22"/>
      </w:rPr>
    </w:pPr>
    <w:r>
      <w:rPr>
        <w:noProof/>
        <w:lang w:eastAsia="en-US"/>
      </w:rPr>
      <mc:AlternateContent>
        <mc:Choice Requires="wps">
          <w:drawing>
            <wp:anchor distT="0" distB="0" distL="114300" distR="114300" simplePos="0" relativeHeight="251657728" behindDoc="0" locked="0" layoutInCell="1" allowOverlap="1" wp14:anchorId="0B24D457" wp14:editId="1EF2D564">
              <wp:simplePos x="0" y="0"/>
              <wp:positionH relativeFrom="column">
                <wp:posOffset>1200150</wp:posOffset>
              </wp:positionH>
              <wp:positionV relativeFrom="paragraph">
                <wp:posOffset>66040</wp:posOffset>
              </wp:positionV>
              <wp:extent cx="3876675" cy="429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AE1F8" w14:textId="77777777" w:rsidR="00F95583" w:rsidRPr="00306550" w:rsidRDefault="001E6BF4"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sidR="00A55035">
                            <w:rPr>
                              <w:rFonts w:ascii="Arial" w:hAnsi="Arial" w:cs="Arial"/>
                              <w:b/>
                              <w:color w:val="17365D"/>
                              <w:sz w:val="22"/>
                              <w:szCs w:val="22"/>
                            </w:rPr>
                            <w:t>LABORATORY</w:t>
                          </w:r>
                        </w:p>
                        <w:p w14:paraId="026BB5EC" w14:textId="77777777" w:rsidR="00F974C6" w:rsidRPr="00306550" w:rsidRDefault="001E6BF4" w:rsidP="001E6BF4">
                          <w:pPr>
                            <w:jc w:val="center"/>
                            <w:rPr>
                              <w:rFonts w:ascii="Arial" w:hAnsi="Arial" w:cs="Arial"/>
                              <w:b/>
                              <w:color w:val="17365D"/>
                              <w:sz w:val="22"/>
                              <w:szCs w:val="22"/>
                            </w:rPr>
                          </w:pPr>
                          <w:r w:rsidRPr="00306550">
                            <w:rPr>
                              <w:rFonts w:ascii="Arial" w:hAnsi="Arial" w:cs="Arial"/>
                              <w:b/>
                              <w:color w:val="17365D"/>
                              <w:sz w:val="22"/>
                              <w:szCs w:val="22"/>
                            </w:rPr>
                            <w:t>201</w:t>
                          </w:r>
                          <w:r w:rsidR="008A1D84">
                            <w:rPr>
                              <w:rFonts w:ascii="Arial" w:hAnsi="Arial" w:cs="Arial"/>
                              <w:b/>
                              <w:color w:val="17365D"/>
                              <w:sz w:val="22"/>
                              <w:szCs w:val="22"/>
                            </w:rPr>
                            <w:t xml:space="preserve">5 </w:t>
                          </w:r>
                          <w:r w:rsidR="00F974C6" w:rsidRPr="00306550">
                            <w:rPr>
                              <w:rFonts w:ascii="Arial" w:hAnsi="Arial" w:cs="Arial"/>
                              <w:b/>
                              <w:color w:val="17365D"/>
                              <w:sz w:val="22"/>
                              <w:szCs w:val="22"/>
                            </w:rPr>
                            <w:t>ANNUAL RESEARCH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0B24D457" id="_x0000_t202" coordsize="21600,21600" o:spt="202" path="m0,0l0,21600,21600,21600,21600,0xe">
              <v:stroke joinstyle="miter"/>
              <v:path gradientshapeok="t" o:connecttype="rect"/>
            </v:shapetype>
            <v:shape id="Text_x0020_Box_x0020_2" o:spid="_x0000_s1026" type="#_x0000_t202"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" stroked="f">
              <v:textbox>
                <w:txbxContent>
                  <w:p w14:paraId="3F6AE1F8" w14:textId="77777777" w:rsidR="00F95583" w:rsidRPr="00306550" w:rsidRDefault="001E6BF4"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sidR="00A55035">
                      <w:rPr>
                        <w:rFonts w:ascii="Arial" w:hAnsi="Arial" w:cs="Arial"/>
                        <w:b/>
                        <w:color w:val="17365D"/>
                        <w:sz w:val="22"/>
                        <w:szCs w:val="22"/>
                      </w:rPr>
                      <w:t>LABORATORY</w:t>
                    </w:r>
                  </w:p>
                  <w:p w14:paraId="026BB5EC" w14:textId="77777777" w:rsidR="00F974C6" w:rsidRPr="00306550" w:rsidRDefault="001E6BF4" w:rsidP="001E6BF4">
                    <w:pPr>
                      <w:jc w:val="center"/>
                      <w:rPr>
                        <w:rFonts w:ascii="Arial" w:hAnsi="Arial" w:cs="Arial"/>
                        <w:b/>
                        <w:color w:val="17365D"/>
                        <w:sz w:val="22"/>
                        <w:szCs w:val="22"/>
                      </w:rPr>
                    </w:pPr>
                    <w:r w:rsidRPr="00306550">
                      <w:rPr>
                        <w:rFonts w:ascii="Arial" w:hAnsi="Arial" w:cs="Arial"/>
                        <w:b/>
                        <w:color w:val="17365D"/>
                        <w:sz w:val="22"/>
                        <w:szCs w:val="22"/>
                      </w:rPr>
                      <w:t>201</w:t>
                    </w:r>
                    <w:r w:rsidR="008A1D84">
                      <w:rPr>
                        <w:rFonts w:ascii="Arial" w:hAnsi="Arial" w:cs="Arial"/>
                        <w:b/>
                        <w:color w:val="17365D"/>
                        <w:sz w:val="22"/>
                        <w:szCs w:val="22"/>
                      </w:rPr>
                      <w:t xml:space="preserve">5 </w:t>
                    </w:r>
                    <w:r w:rsidR="00F974C6" w:rsidRPr="00306550">
                      <w:rPr>
                        <w:rFonts w:ascii="Arial" w:hAnsi="Arial" w:cs="Arial"/>
                        <w:b/>
                        <w:color w:val="17365D"/>
                        <w:sz w:val="22"/>
                        <w:szCs w:val="22"/>
                      </w:rPr>
                      <w:t>ANNUAL RESEARCH REPORT</w:t>
                    </w:r>
                  </w:p>
                </w:txbxContent>
              </v:textbox>
            </v:shape>
          </w:pict>
        </mc:Fallback>
      </mc:AlternateContent>
    </w:r>
    <w:r w:rsidRPr="00E60509">
      <w:rPr>
        <w:rFonts w:ascii="Arial" w:hAnsi="Arial" w:cs="Arial"/>
        <w:b/>
        <w:smallCaps/>
        <w:noProof/>
        <w:color w:val="1F497D"/>
        <w:spacing w:val="5"/>
        <w:sz w:val="22"/>
        <w:szCs w:val="22"/>
        <w:lang w:eastAsia="en-US"/>
      </w:rPr>
      <w:drawing>
        <wp:inline distT="0" distB="0" distL="0" distR="0" wp14:anchorId="64F1283F" wp14:editId="12A1DC0F">
          <wp:extent cx="516255" cy="624840"/>
          <wp:effectExtent l="0" t="0" r="0" b="0"/>
          <wp:docPr id="1"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 cy="6248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029D8" w14:textId="77777777" w:rsidR="008A1D84" w:rsidRDefault="008A1D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702D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19"/>
    <w:rsid w:val="00020C55"/>
    <w:rsid w:val="000558AC"/>
    <w:rsid w:val="000736B9"/>
    <w:rsid w:val="00085670"/>
    <w:rsid w:val="000A1716"/>
    <w:rsid w:val="000A59A8"/>
    <w:rsid w:val="000D3516"/>
    <w:rsid w:val="000E1D4F"/>
    <w:rsid w:val="00104A4C"/>
    <w:rsid w:val="00104C84"/>
    <w:rsid w:val="00113D92"/>
    <w:rsid w:val="00120180"/>
    <w:rsid w:val="0014131B"/>
    <w:rsid w:val="00141FE9"/>
    <w:rsid w:val="00155AD2"/>
    <w:rsid w:val="00167606"/>
    <w:rsid w:val="001836FA"/>
    <w:rsid w:val="0018419E"/>
    <w:rsid w:val="0018697C"/>
    <w:rsid w:val="00187023"/>
    <w:rsid w:val="001D59E4"/>
    <w:rsid w:val="001E1A4D"/>
    <w:rsid w:val="001E526E"/>
    <w:rsid w:val="001E5ECF"/>
    <w:rsid w:val="001E6BF4"/>
    <w:rsid w:val="00231335"/>
    <w:rsid w:val="00232C54"/>
    <w:rsid w:val="00233F11"/>
    <w:rsid w:val="00241739"/>
    <w:rsid w:val="002426D5"/>
    <w:rsid w:val="002507E2"/>
    <w:rsid w:val="002524EE"/>
    <w:rsid w:val="00265A15"/>
    <w:rsid w:val="00290223"/>
    <w:rsid w:val="002A230D"/>
    <w:rsid w:val="002C7675"/>
    <w:rsid w:val="00306550"/>
    <w:rsid w:val="00312C04"/>
    <w:rsid w:val="00334CEB"/>
    <w:rsid w:val="0035482C"/>
    <w:rsid w:val="003560D2"/>
    <w:rsid w:val="00363C8F"/>
    <w:rsid w:val="00364B6E"/>
    <w:rsid w:val="00376D2C"/>
    <w:rsid w:val="00393065"/>
    <w:rsid w:val="003A1FF5"/>
    <w:rsid w:val="003C4302"/>
    <w:rsid w:val="003C6493"/>
    <w:rsid w:val="003D702B"/>
    <w:rsid w:val="003E2F8E"/>
    <w:rsid w:val="003F1522"/>
    <w:rsid w:val="003F55A7"/>
    <w:rsid w:val="003F6E7E"/>
    <w:rsid w:val="00410D2C"/>
    <w:rsid w:val="00420894"/>
    <w:rsid w:val="00450C97"/>
    <w:rsid w:val="0045148E"/>
    <w:rsid w:val="00486FF9"/>
    <w:rsid w:val="0049187D"/>
    <w:rsid w:val="00491C5D"/>
    <w:rsid w:val="004A227C"/>
    <w:rsid w:val="004E6B60"/>
    <w:rsid w:val="004F160B"/>
    <w:rsid w:val="005034C0"/>
    <w:rsid w:val="00511F7E"/>
    <w:rsid w:val="005173CE"/>
    <w:rsid w:val="0053142A"/>
    <w:rsid w:val="0053503D"/>
    <w:rsid w:val="005452B9"/>
    <w:rsid w:val="0057602B"/>
    <w:rsid w:val="00583BC3"/>
    <w:rsid w:val="005A1B84"/>
    <w:rsid w:val="005C4422"/>
    <w:rsid w:val="005C4667"/>
    <w:rsid w:val="005C5648"/>
    <w:rsid w:val="00624DC5"/>
    <w:rsid w:val="00625028"/>
    <w:rsid w:val="00627F7D"/>
    <w:rsid w:val="006612DC"/>
    <w:rsid w:val="00672D41"/>
    <w:rsid w:val="00687B68"/>
    <w:rsid w:val="006A331C"/>
    <w:rsid w:val="006B3824"/>
    <w:rsid w:val="006C4440"/>
    <w:rsid w:val="006D745E"/>
    <w:rsid w:val="006E2CE0"/>
    <w:rsid w:val="006E4A9F"/>
    <w:rsid w:val="007044EE"/>
    <w:rsid w:val="007207FF"/>
    <w:rsid w:val="00731C19"/>
    <w:rsid w:val="00734E94"/>
    <w:rsid w:val="00753688"/>
    <w:rsid w:val="00764FB5"/>
    <w:rsid w:val="00774A49"/>
    <w:rsid w:val="007C0813"/>
    <w:rsid w:val="007D3105"/>
    <w:rsid w:val="007E2F28"/>
    <w:rsid w:val="00852F7E"/>
    <w:rsid w:val="00862CB5"/>
    <w:rsid w:val="00883638"/>
    <w:rsid w:val="008A02C2"/>
    <w:rsid w:val="008A1D84"/>
    <w:rsid w:val="008B05B8"/>
    <w:rsid w:val="008C5788"/>
    <w:rsid w:val="008E5BC5"/>
    <w:rsid w:val="008E5C85"/>
    <w:rsid w:val="008F35CC"/>
    <w:rsid w:val="008F6083"/>
    <w:rsid w:val="00902CF3"/>
    <w:rsid w:val="00960DE5"/>
    <w:rsid w:val="009648AC"/>
    <w:rsid w:val="009A39F6"/>
    <w:rsid w:val="009A3F73"/>
    <w:rsid w:val="009B41B2"/>
    <w:rsid w:val="009C318D"/>
    <w:rsid w:val="009C3DF0"/>
    <w:rsid w:val="009C7F31"/>
    <w:rsid w:val="009D39A4"/>
    <w:rsid w:val="009E4F1E"/>
    <w:rsid w:val="009E6BCD"/>
    <w:rsid w:val="00A1227A"/>
    <w:rsid w:val="00A43CDE"/>
    <w:rsid w:val="00A55035"/>
    <w:rsid w:val="00A758E6"/>
    <w:rsid w:val="00A94FC4"/>
    <w:rsid w:val="00AC297F"/>
    <w:rsid w:val="00AC4AFE"/>
    <w:rsid w:val="00AD3CDD"/>
    <w:rsid w:val="00AE142B"/>
    <w:rsid w:val="00AF7C63"/>
    <w:rsid w:val="00B00CDB"/>
    <w:rsid w:val="00B25D4D"/>
    <w:rsid w:val="00B45112"/>
    <w:rsid w:val="00B5585D"/>
    <w:rsid w:val="00B71405"/>
    <w:rsid w:val="00B75DC9"/>
    <w:rsid w:val="00B94321"/>
    <w:rsid w:val="00B95FCB"/>
    <w:rsid w:val="00B96080"/>
    <w:rsid w:val="00BA00BE"/>
    <w:rsid w:val="00BA7096"/>
    <w:rsid w:val="00BD00C8"/>
    <w:rsid w:val="00BE2257"/>
    <w:rsid w:val="00C02989"/>
    <w:rsid w:val="00C076C7"/>
    <w:rsid w:val="00C1189D"/>
    <w:rsid w:val="00C13313"/>
    <w:rsid w:val="00C75A17"/>
    <w:rsid w:val="00C81666"/>
    <w:rsid w:val="00C83434"/>
    <w:rsid w:val="00C83EAA"/>
    <w:rsid w:val="00C93F0D"/>
    <w:rsid w:val="00CA6625"/>
    <w:rsid w:val="00CB0819"/>
    <w:rsid w:val="00CB1A7C"/>
    <w:rsid w:val="00CB4058"/>
    <w:rsid w:val="00CC5B40"/>
    <w:rsid w:val="00CE3F90"/>
    <w:rsid w:val="00D01F6B"/>
    <w:rsid w:val="00D0313F"/>
    <w:rsid w:val="00D07879"/>
    <w:rsid w:val="00D1756D"/>
    <w:rsid w:val="00D65CBB"/>
    <w:rsid w:val="00D67B56"/>
    <w:rsid w:val="00D851F6"/>
    <w:rsid w:val="00DB1EE3"/>
    <w:rsid w:val="00DC0402"/>
    <w:rsid w:val="00DD44E5"/>
    <w:rsid w:val="00DE3216"/>
    <w:rsid w:val="00E04B24"/>
    <w:rsid w:val="00E07ED9"/>
    <w:rsid w:val="00E25473"/>
    <w:rsid w:val="00E411D1"/>
    <w:rsid w:val="00E43BB4"/>
    <w:rsid w:val="00E5095B"/>
    <w:rsid w:val="00E536CF"/>
    <w:rsid w:val="00E57E61"/>
    <w:rsid w:val="00E60509"/>
    <w:rsid w:val="00EA1E33"/>
    <w:rsid w:val="00EB489A"/>
    <w:rsid w:val="00EB515D"/>
    <w:rsid w:val="00ED63BC"/>
    <w:rsid w:val="00F01D38"/>
    <w:rsid w:val="00F23F2F"/>
    <w:rsid w:val="00F25BB4"/>
    <w:rsid w:val="00F31351"/>
    <w:rsid w:val="00F31B06"/>
    <w:rsid w:val="00F43581"/>
    <w:rsid w:val="00F4530F"/>
    <w:rsid w:val="00F45B22"/>
    <w:rsid w:val="00F52E02"/>
    <w:rsid w:val="00F534AD"/>
    <w:rsid w:val="00F54466"/>
    <w:rsid w:val="00F8198A"/>
    <w:rsid w:val="00F908F6"/>
    <w:rsid w:val="00F935F1"/>
    <w:rsid w:val="00F95583"/>
    <w:rsid w:val="00F974C6"/>
    <w:rsid w:val="00FB4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14:docId w14:val="2766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38F5D4D-748B-4574-A706-3F69CB55225E}">
  <ds:schemaRefs>
    <ds:schemaRef ds:uri="http://schemas.microsoft.com/sharepoint/v3/contenttype/forms"/>
  </ds:schemaRefs>
</ds:datastoreItem>
</file>

<file path=customXml/itemProps2.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141015 2014-Research ReportTemplate</Template>
  <TotalTime>1</TotalTime>
  <Pages>1</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NHMFL Research Report</vt:lpstr>
    </vt:vector>
  </TitlesOfParts>
  <Company>NHMFL</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creator>Anke Toth</dc:creator>
  <cp:lastModifiedBy>Anke Toth</cp:lastModifiedBy>
  <cp:revision>3</cp:revision>
  <cp:lastPrinted>2015-07-15T23:10:00Z</cp:lastPrinted>
  <dcterms:created xsi:type="dcterms:W3CDTF">2016-02-09T20:16:00Z</dcterms:created>
  <dcterms:modified xsi:type="dcterms:W3CDTF">2016-02-09T20:17:00Z</dcterms:modified>
</cp:coreProperties>
</file>