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1E0319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Toll </w:t>
      </w:r>
      <w:r w:rsidR="00496A9E">
        <w:rPr>
          <w:rFonts w:ascii="Arial" w:hAnsi="Arial" w:cs="Arial"/>
          <w:b/>
        </w:rPr>
        <w:t>Like R</w:t>
      </w:r>
      <w:r>
        <w:rPr>
          <w:rFonts w:ascii="Arial" w:hAnsi="Arial" w:cs="Arial"/>
          <w:b/>
        </w:rPr>
        <w:t>eceptor-2 TM Domain Structural Studies by Solid S</w:t>
      </w:r>
      <w:r w:rsidR="00426369">
        <w:rPr>
          <w:rFonts w:ascii="Arial" w:hAnsi="Arial" w:cs="Arial"/>
          <w:b/>
        </w:rPr>
        <w:t>tate NMR Spectroscopy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26369" w:rsidRPr="006D2BA3" w:rsidRDefault="00426369" w:rsidP="00426369">
      <w:pPr>
        <w:rPr>
          <w:rFonts w:ascii="Arial" w:hAnsi="Arial" w:cs="Arial"/>
          <w:sz w:val="20"/>
          <w:szCs w:val="20"/>
        </w:rPr>
      </w:pPr>
      <w:r w:rsidRPr="001F6D61">
        <w:rPr>
          <w:rFonts w:ascii="Arial" w:hAnsi="Arial" w:cs="Arial"/>
          <w:sz w:val="20"/>
          <w:szCs w:val="20"/>
        </w:rPr>
        <w:t>Das</w:t>
      </w:r>
      <w:r w:rsidR="00496A9E" w:rsidRPr="001F6D61">
        <w:rPr>
          <w:rFonts w:ascii="Arial" w:hAnsi="Arial" w:cs="Arial"/>
          <w:sz w:val="20"/>
          <w:szCs w:val="20"/>
        </w:rPr>
        <w:t>, N.</w:t>
      </w:r>
      <w:r w:rsidR="00496A9E">
        <w:rPr>
          <w:rFonts w:ascii="Arial" w:hAnsi="Arial" w:cs="Arial"/>
          <w:sz w:val="20"/>
          <w:szCs w:val="20"/>
        </w:rPr>
        <w:t xml:space="preserve"> and </w:t>
      </w:r>
      <w:r w:rsidRPr="001F6D61">
        <w:rPr>
          <w:rFonts w:ascii="Arial" w:hAnsi="Arial" w:cs="Arial"/>
          <w:sz w:val="20"/>
          <w:szCs w:val="20"/>
          <w:u w:val="single"/>
        </w:rPr>
        <w:t>Yin</w:t>
      </w:r>
      <w:r w:rsidR="00496A9E" w:rsidRPr="001F6D61">
        <w:rPr>
          <w:rFonts w:ascii="Arial" w:hAnsi="Arial" w:cs="Arial"/>
          <w:sz w:val="20"/>
          <w:szCs w:val="20"/>
          <w:u w:val="single"/>
        </w:rPr>
        <w:t>, H.H.</w:t>
      </w:r>
      <w:r>
        <w:rPr>
          <w:rFonts w:ascii="Arial" w:hAnsi="Arial" w:cs="Arial"/>
          <w:sz w:val="20"/>
          <w:szCs w:val="20"/>
        </w:rPr>
        <w:t xml:space="preserve"> (</w:t>
      </w:r>
      <w:r w:rsidR="00496A9E">
        <w:rPr>
          <w:rFonts w:ascii="Arial" w:hAnsi="Arial" w:cs="Arial"/>
          <w:sz w:val="20"/>
          <w:szCs w:val="20"/>
        </w:rPr>
        <w:t xml:space="preserve">U. of </w:t>
      </w:r>
      <w:r>
        <w:rPr>
          <w:rFonts w:ascii="Arial" w:hAnsi="Arial" w:cs="Arial"/>
          <w:sz w:val="20"/>
          <w:szCs w:val="20"/>
        </w:rPr>
        <w:t>C</w:t>
      </w:r>
      <w:r w:rsidR="00496A9E">
        <w:rPr>
          <w:rFonts w:ascii="Arial" w:hAnsi="Arial" w:cs="Arial"/>
          <w:sz w:val="20"/>
          <w:szCs w:val="20"/>
        </w:rPr>
        <w:t>olorado-</w:t>
      </w:r>
      <w:r>
        <w:rPr>
          <w:rFonts w:ascii="Arial" w:hAnsi="Arial" w:cs="Arial"/>
          <w:sz w:val="20"/>
          <w:szCs w:val="20"/>
        </w:rPr>
        <w:t>Boulder</w:t>
      </w:r>
      <w:r w:rsidRPr="006D2BA3">
        <w:rPr>
          <w:rFonts w:ascii="Arial" w:hAnsi="Arial" w:cs="Arial"/>
          <w:sz w:val="20"/>
          <w:szCs w:val="20"/>
        </w:rPr>
        <w:t>, Chemis</w:t>
      </w:r>
      <w:r>
        <w:rPr>
          <w:rFonts w:ascii="Arial" w:hAnsi="Arial" w:cs="Arial"/>
          <w:sz w:val="20"/>
          <w:szCs w:val="20"/>
        </w:rPr>
        <w:t xml:space="preserve">try and Biochemistry, </w:t>
      </w:r>
      <w:proofErr w:type="spellStart"/>
      <w:r>
        <w:rPr>
          <w:rFonts w:ascii="Arial" w:hAnsi="Arial" w:cs="Arial"/>
          <w:sz w:val="20"/>
          <w:szCs w:val="20"/>
        </w:rPr>
        <w:t>Biofronti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</w:t>
      </w:r>
      <w:proofErr w:type="spellEnd"/>
      <w:r w:rsidRPr="006D2BA3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42636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ED1632">
        <w:rPr>
          <w:rFonts w:ascii="Arial" w:hAnsi="Arial" w:cs="Arial"/>
          <w:sz w:val="20"/>
          <w:szCs w:val="20"/>
        </w:rPr>
        <w:t xml:space="preserve">Past one decade </w:t>
      </w:r>
      <w:r w:rsidR="00426369">
        <w:rPr>
          <w:rFonts w:ascii="Arial" w:hAnsi="Arial" w:cs="Arial"/>
          <w:sz w:val="20"/>
          <w:szCs w:val="20"/>
        </w:rPr>
        <w:t>solid state NMR spectroscopy has become a</w:t>
      </w:r>
      <w:r w:rsidR="00426369" w:rsidRPr="004B40CA">
        <w:rPr>
          <w:rFonts w:ascii="Arial" w:hAnsi="Arial" w:cs="Arial"/>
          <w:sz w:val="20"/>
          <w:szCs w:val="20"/>
        </w:rPr>
        <w:t xml:space="preserve"> </w:t>
      </w:r>
      <w:r w:rsidR="00426369">
        <w:rPr>
          <w:rFonts w:ascii="Arial" w:hAnsi="Arial" w:cs="Arial"/>
          <w:sz w:val="20"/>
          <w:szCs w:val="20"/>
        </w:rPr>
        <w:t xml:space="preserve">very </w:t>
      </w:r>
      <w:r w:rsidR="00426369" w:rsidRPr="004B40CA">
        <w:rPr>
          <w:rFonts w:ascii="Arial" w:hAnsi="Arial" w:cs="Arial"/>
          <w:sz w:val="20"/>
          <w:szCs w:val="20"/>
        </w:rPr>
        <w:t>powerful tool to study</w:t>
      </w:r>
      <w:r w:rsidR="00426369">
        <w:rPr>
          <w:rFonts w:ascii="Arial" w:hAnsi="Arial" w:cs="Arial"/>
          <w:sz w:val="20"/>
          <w:szCs w:val="20"/>
        </w:rPr>
        <w:t xml:space="preserve"> small helical</w:t>
      </w:r>
      <w:r w:rsidR="00426369" w:rsidRPr="004B40CA">
        <w:rPr>
          <w:rFonts w:ascii="Arial" w:hAnsi="Arial" w:cs="Arial"/>
          <w:sz w:val="20"/>
          <w:szCs w:val="20"/>
        </w:rPr>
        <w:t xml:space="preserve"> membrane proteins</w:t>
      </w:r>
      <w:r w:rsidR="00426369">
        <w:rPr>
          <w:rFonts w:ascii="Arial" w:hAnsi="Arial" w:cs="Arial"/>
          <w:sz w:val="20"/>
          <w:szCs w:val="20"/>
        </w:rPr>
        <w:t xml:space="preserve"> in membrane environment</w:t>
      </w:r>
      <w:r w:rsidR="00426369" w:rsidRPr="004B40CA">
        <w:rPr>
          <w:rFonts w:ascii="Arial" w:hAnsi="Arial" w:cs="Arial"/>
          <w:sz w:val="20"/>
          <w:szCs w:val="20"/>
        </w:rPr>
        <w:t>.</w:t>
      </w:r>
      <w:r w:rsidR="00426369">
        <w:rPr>
          <w:rFonts w:ascii="Arial" w:hAnsi="Arial" w:cs="Arial"/>
          <w:sz w:val="20"/>
          <w:szCs w:val="20"/>
        </w:rPr>
        <w:t xml:space="preserve"> Here we presen</w:t>
      </w:r>
      <w:r w:rsidR="00ED1632">
        <w:rPr>
          <w:rFonts w:ascii="Arial" w:hAnsi="Arial" w:cs="Arial"/>
          <w:sz w:val="20"/>
          <w:szCs w:val="20"/>
        </w:rPr>
        <w:t xml:space="preserve">t the structural studies of </w:t>
      </w:r>
      <w:r w:rsidR="00426369">
        <w:rPr>
          <w:rFonts w:ascii="Arial" w:hAnsi="Arial" w:cs="Arial"/>
          <w:sz w:val="20"/>
          <w:szCs w:val="20"/>
        </w:rPr>
        <w:t>human Toll like rec</w:t>
      </w:r>
      <w:r w:rsidR="00ED1632">
        <w:rPr>
          <w:rFonts w:ascii="Arial" w:hAnsi="Arial" w:cs="Arial"/>
          <w:sz w:val="20"/>
          <w:szCs w:val="20"/>
        </w:rPr>
        <w:t>eptor-2 (TLR2</w:t>
      </w:r>
      <w:r w:rsidR="00426369">
        <w:rPr>
          <w:rFonts w:ascii="Arial" w:hAnsi="Arial" w:cs="Arial"/>
          <w:sz w:val="20"/>
          <w:szCs w:val="20"/>
        </w:rPr>
        <w:t>) transmembrane (TMD) in lipid bilayer by ssNMR spectr</w:t>
      </w:r>
      <w:r w:rsidR="00ED1632">
        <w:rPr>
          <w:rFonts w:ascii="Arial" w:hAnsi="Arial" w:cs="Arial"/>
          <w:sz w:val="20"/>
          <w:szCs w:val="20"/>
        </w:rPr>
        <w:t xml:space="preserve">oscopy. We applied Oriented </w:t>
      </w:r>
      <w:r w:rsidR="00496A9E">
        <w:rPr>
          <w:rFonts w:ascii="Arial" w:hAnsi="Arial" w:cs="Arial"/>
          <w:sz w:val="20"/>
          <w:szCs w:val="20"/>
        </w:rPr>
        <w:t>Sample</w:t>
      </w:r>
      <w:r w:rsidR="00ED1632">
        <w:rPr>
          <w:rFonts w:ascii="Arial" w:hAnsi="Arial" w:cs="Arial"/>
          <w:sz w:val="20"/>
          <w:szCs w:val="20"/>
        </w:rPr>
        <w:t xml:space="preserve"> solid state NMR (OS ssNMR)</w:t>
      </w:r>
      <w:r w:rsidR="00426369">
        <w:rPr>
          <w:rFonts w:ascii="Arial" w:hAnsi="Arial" w:cs="Arial"/>
          <w:sz w:val="20"/>
          <w:szCs w:val="20"/>
        </w:rPr>
        <w:t xml:space="preserve"> experiments </w:t>
      </w:r>
      <w:r w:rsidR="00ED1632">
        <w:rPr>
          <w:rFonts w:ascii="Arial" w:hAnsi="Arial" w:cs="Arial"/>
          <w:sz w:val="20"/>
          <w:szCs w:val="20"/>
        </w:rPr>
        <w:t xml:space="preserve">to obtain </w:t>
      </w:r>
      <w:r w:rsidR="00426369" w:rsidRPr="004B40CA">
        <w:rPr>
          <w:rFonts w:ascii="Arial" w:hAnsi="Arial" w:cs="Arial"/>
          <w:sz w:val="20"/>
          <w:szCs w:val="20"/>
        </w:rPr>
        <w:t>uniaxial orientation</w:t>
      </w:r>
      <w:r w:rsidR="00426369">
        <w:rPr>
          <w:rFonts w:ascii="Arial" w:hAnsi="Arial" w:cs="Arial"/>
          <w:sz w:val="20"/>
          <w:szCs w:val="20"/>
        </w:rPr>
        <w:t xml:space="preserve">s </w:t>
      </w:r>
      <w:r w:rsidR="00ED1632">
        <w:rPr>
          <w:rFonts w:ascii="Arial" w:hAnsi="Arial" w:cs="Arial"/>
          <w:sz w:val="20"/>
          <w:szCs w:val="20"/>
        </w:rPr>
        <w:t>of TLR2 TMD</w:t>
      </w:r>
      <w:r w:rsidR="00426369">
        <w:rPr>
          <w:rFonts w:ascii="Arial" w:hAnsi="Arial" w:cs="Arial"/>
          <w:sz w:val="20"/>
          <w:szCs w:val="20"/>
        </w:rPr>
        <w:t xml:space="preserve"> in POPC</w:t>
      </w:r>
      <w:proofErr w:type="gramStart"/>
      <w:r w:rsidR="00426369">
        <w:rPr>
          <w:rFonts w:ascii="Arial" w:hAnsi="Arial" w:cs="Arial"/>
          <w:sz w:val="20"/>
          <w:szCs w:val="20"/>
        </w:rPr>
        <w:t>:POPG</w:t>
      </w:r>
      <w:proofErr w:type="gramEnd"/>
      <w:r w:rsidR="00426369">
        <w:rPr>
          <w:rFonts w:ascii="Arial" w:hAnsi="Arial" w:cs="Arial"/>
          <w:sz w:val="20"/>
          <w:szCs w:val="20"/>
        </w:rPr>
        <w:t xml:space="preserve"> lipid bilayers</w:t>
      </w:r>
      <w:r w:rsidR="00426369" w:rsidRPr="004B40CA">
        <w:rPr>
          <w:rFonts w:ascii="Arial" w:hAnsi="Arial" w:cs="Arial"/>
          <w:sz w:val="20"/>
          <w:szCs w:val="20"/>
        </w:rPr>
        <w:t>.</w:t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ED1632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F389B">
        <w:rPr>
          <w:rFonts w:ascii="Arial" w:eastAsia="TimesNewRomanPSMT" w:hAnsi="Arial" w:cs="Arial"/>
          <w:sz w:val="20"/>
          <w:szCs w:val="20"/>
          <w:vertAlign w:val="superscript"/>
        </w:rPr>
        <w:t>15</w:t>
      </w:r>
      <w:r>
        <w:rPr>
          <w:rFonts w:ascii="Arial" w:eastAsia="TimesNewRomanPSMT" w:hAnsi="Arial" w:cs="Arial"/>
          <w:sz w:val="20"/>
          <w:szCs w:val="20"/>
        </w:rPr>
        <w:t>N</w:t>
      </w:r>
      <w:r w:rsidRPr="003F389B">
        <w:rPr>
          <w:rFonts w:ascii="Arial" w:eastAsia="TimesNewRomanPSMT" w:hAnsi="Arial" w:cs="Arial"/>
          <w:sz w:val="20"/>
          <w:szCs w:val="20"/>
        </w:rPr>
        <w:t xml:space="preserve"> uniform</w:t>
      </w:r>
      <w:r>
        <w:rPr>
          <w:rFonts w:ascii="Arial" w:eastAsia="TimesNewRomanPSMT" w:hAnsi="Arial" w:cs="Arial"/>
          <w:sz w:val="20"/>
          <w:szCs w:val="20"/>
        </w:rPr>
        <w:t xml:space="preserve"> labeled </w:t>
      </w:r>
      <w:r w:rsidRPr="003F389B">
        <w:rPr>
          <w:rFonts w:ascii="Arial" w:eastAsia="TimesNewRomanPSMT" w:hAnsi="Arial" w:cs="Arial"/>
          <w:sz w:val="20"/>
          <w:szCs w:val="20"/>
        </w:rPr>
        <w:t xml:space="preserve">and amino acid specific labeled </w:t>
      </w:r>
      <w:r>
        <w:rPr>
          <w:rFonts w:ascii="Arial" w:eastAsia="TimesNewRomanPSMT" w:hAnsi="Arial" w:cs="Arial"/>
          <w:sz w:val="20"/>
          <w:szCs w:val="20"/>
        </w:rPr>
        <w:t xml:space="preserve">TLR2 TMD </w:t>
      </w:r>
      <w:r w:rsidRPr="003F389B">
        <w:rPr>
          <w:rFonts w:ascii="Arial" w:eastAsia="TimesNewRomanPSMT" w:hAnsi="Arial" w:cs="Arial"/>
          <w:sz w:val="20"/>
          <w:szCs w:val="20"/>
        </w:rPr>
        <w:t xml:space="preserve">was grown in M9 media and purified by </w:t>
      </w:r>
      <w:r w:rsidRPr="003F389B">
        <w:rPr>
          <w:rFonts w:ascii="Arial" w:eastAsia="TimesNewRomanPSMT" w:hAnsi="Arial" w:cs="Arial"/>
          <w:color w:val="000000"/>
          <w:sz w:val="20"/>
          <w:szCs w:val="20"/>
        </w:rPr>
        <w:t>Ni</w:t>
      </w:r>
      <w:r w:rsidRPr="003F389B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2+</w:t>
      </w:r>
      <w:r w:rsidRPr="003F389B">
        <w:rPr>
          <w:rFonts w:ascii="Arial" w:eastAsia="TimesNewRomanPSMT" w:hAnsi="Arial" w:cs="Arial"/>
          <w:color w:val="000000"/>
          <w:sz w:val="20"/>
          <w:szCs w:val="20"/>
        </w:rPr>
        <w:t xml:space="preserve"> affinity column chromatography </w:t>
      </w:r>
      <w:r>
        <w:rPr>
          <w:rFonts w:ascii="Arial" w:eastAsia="TimesNewRomanPSMT" w:hAnsi="Arial" w:cs="Arial"/>
          <w:color w:val="000000"/>
          <w:sz w:val="20"/>
          <w:szCs w:val="20"/>
        </w:rPr>
        <w:t>using a</w:t>
      </w:r>
      <w:r w:rsidRPr="003F389B">
        <w:rPr>
          <w:rFonts w:ascii="Arial" w:eastAsia="TimesNewRomanPSMT" w:hAnsi="Arial" w:cs="Arial"/>
          <w:color w:val="000000"/>
          <w:sz w:val="20"/>
          <w:szCs w:val="20"/>
        </w:rPr>
        <w:t xml:space="preserve"> semi-automated FPLC.</w:t>
      </w:r>
      <w:r>
        <w:rPr>
          <w:rFonts w:ascii="Arial" w:eastAsia="TimesNewRomanPSMT" w:hAnsi="Arial" w:cs="Arial"/>
          <w:color w:val="000000"/>
          <w:sz w:val="20"/>
          <w:szCs w:val="20"/>
        </w:rPr>
        <w:t xml:space="preserve"> The purified protein was reconstituted in to </w:t>
      </w:r>
      <w:r w:rsidRPr="003F389B">
        <w:rPr>
          <w:rFonts w:ascii="Arial" w:eastAsia="Arial Unicode MS" w:hAnsi="Arial" w:cs="Arial"/>
          <w:color w:val="000000"/>
          <w:sz w:val="20"/>
          <w:szCs w:val="20"/>
        </w:rPr>
        <w:t>POPC-POPG liposome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s (1:80 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protein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to Lipid molar ratio).</w:t>
      </w:r>
      <w:r>
        <w:rPr>
          <w:rFonts w:ascii="Arial" w:eastAsia="TimesNewRomanPSMT" w:hAnsi="Arial" w:cs="Arial"/>
          <w:color w:val="000000"/>
          <w:sz w:val="20"/>
          <w:szCs w:val="20"/>
        </w:rPr>
        <w:t xml:space="preserve"> Methyl Beta </w:t>
      </w:r>
      <w:proofErr w:type="spellStart"/>
      <w:r>
        <w:rPr>
          <w:rFonts w:ascii="Arial" w:eastAsia="TimesNewRomanPSMT" w:hAnsi="Arial" w:cs="Arial"/>
          <w:color w:val="000000"/>
          <w:sz w:val="20"/>
          <w:szCs w:val="20"/>
        </w:rPr>
        <w:t>Cyclodextrin</w:t>
      </w:r>
      <w:proofErr w:type="spellEnd"/>
      <w:r>
        <w:rPr>
          <w:rFonts w:ascii="Arial" w:eastAsia="TimesNewRomanPSMT" w:hAnsi="Arial" w:cs="Arial"/>
          <w:color w:val="000000"/>
          <w:sz w:val="20"/>
          <w:szCs w:val="20"/>
        </w:rPr>
        <w:t xml:space="preserve"> (MβCD) was used for detergent removal in all sample preparation. The OS samples were </w:t>
      </w:r>
      <w:proofErr w:type="gramStart"/>
      <w:r>
        <w:rPr>
          <w:rFonts w:ascii="Arial" w:eastAsia="TimesNewRomanPSMT" w:hAnsi="Arial" w:cs="Arial"/>
          <w:color w:val="000000"/>
          <w:sz w:val="20"/>
          <w:szCs w:val="20"/>
        </w:rPr>
        <w:t xml:space="preserve">prepared </w:t>
      </w:r>
      <w:r w:rsidR="00836979">
        <w:rPr>
          <w:rFonts w:ascii="Arial" w:eastAsia="TimesNewRomanPSMT" w:hAnsi="Arial" w:cs="Arial"/>
          <w:color w:val="000000"/>
          <w:sz w:val="20"/>
          <w:szCs w:val="20"/>
        </w:rPr>
        <w:t xml:space="preserve"> as</w:t>
      </w:r>
      <w:proofErr w:type="gramEnd"/>
      <w:r w:rsidR="00836979">
        <w:rPr>
          <w:rFonts w:ascii="Arial" w:eastAsia="TimesNewRomanPSMT" w:hAnsi="Arial" w:cs="Arial"/>
          <w:color w:val="000000"/>
          <w:sz w:val="20"/>
          <w:szCs w:val="20"/>
        </w:rPr>
        <w:t xml:space="preserve"> mentioned in reference 1. Series of </w:t>
      </w:r>
      <w:r>
        <w:rPr>
          <w:rFonts w:ascii="Arial" w:eastAsia="TimesNewRomanPSMT" w:hAnsi="Arial" w:cs="Arial"/>
          <w:color w:val="000000"/>
          <w:sz w:val="20"/>
          <w:szCs w:val="20"/>
        </w:rPr>
        <w:t xml:space="preserve">2D </w:t>
      </w:r>
      <w:r w:rsidR="00836979">
        <w:rPr>
          <w:rFonts w:ascii="Arial" w:eastAsia="TimesNewRomanPSMT" w:hAnsi="Arial" w:cs="Arial"/>
          <w:color w:val="000000"/>
          <w:sz w:val="20"/>
          <w:szCs w:val="20"/>
        </w:rPr>
        <w:t>SAMPI4</w:t>
      </w:r>
      <w:r>
        <w:rPr>
          <w:rFonts w:ascii="Arial" w:eastAsia="TimesNewRomanPSMT" w:hAnsi="Arial" w:cs="Arial"/>
          <w:color w:val="000000"/>
          <w:sz w:val="20"/>
          <w:szCs w:val="20"/>
        </w:rPr>
        <w:t xml:space="preserve"> experiments were performed by 720 MHz spectrometer in NHMFL at 286K. </w:t>
      </w:r>
    </w:p>
    <w:p w:rsidR="001E0319" w:rsidRDefault="001E031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74FA1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-2969895</wp:posOffset>
                </wp:positionH>
                <wp:positionV relativeFrom="paragraph">
                  <wp:posOffset>78740</wp:posOffset>
                </wp:positionV>
                <wp:extent cx="295275" cy="351155"/>
                <wp:effectExtent l="1905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979" w:rsidRDefault="00836979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33.85pt;margin-top:6.2pt;width:23.2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f1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" stroked="f">
                <v:textbox>
                  <w:txbxContent>
                    <w:p w:rsidR="00836979" w:rsidRDefault="00836979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372110" cy="372110"/>
                <wp:effectExtent l="635" t="317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979" w:rsidRDefault="00836979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05pt;margin-top:7pt;width:29.3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pRf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" stroked="f">
                <v:textbox>
                  <w:txbxContent>
                    <w:p w:rsidR="00836979" w:rsidRDefault="00836979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710815" cy="2025650"/>
                <wp:effectExtent l="9525" t="9525" r="6985" b="1016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79" w:rsidRPr="00130CA4" w:rsidRDefault="00A426B6" w:rsidP="00130CA4">
                            <w:pPr>
                              <w:rPr>
                                <w:rFonts w:ascii="Arial" w:eastAsia="TimesNewRomanPSMT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NewRomanPSMT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498725" cy="1924685"/>
                                  <wp:effectExtent l="19050" t="0" r="0" b="0"/>
                                  <wp:docPr id="8" name="Picture 1" descr="C:\Users\biswas\Desktop\AHA_PostDocFellowship_2015\Research_Plan_ND\Table\TLR2_SAMPI4_June2015_25degTi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swas\Desktop\AHA_PostDocFellowship_2015\Research_Plan_ND\Table\TLR2_SAMPI4_June2015_25degTi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5424" t="38889" r="18567" b="255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725" cy="192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75pt;margin-top:0;width:213.45pt;height:159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" strokecolor="white [3212]">
                <v:textbox style="mso-fit-shape-to-text:t">
                  <w:txbxContent>
                    <w:p w:rsidR="00836979" w:rsidRPr="00130CA4" w:rsidRDefault="00A426B6" w:rsidP="00130CA4">
                      <w:pPr>
                        <w:rPr>
                          <w:rFonts w:ascii="Arial" w:eastAsia="TimesNewRomanPSMT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NewRomanPSMT" w:hAnsi="Arial" w:cs="Arial"/>
                          <w:noProof/>
                          <w:color w:val="000000"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498725" cy="1924685"/>
                            <wp:effectExtent l="19050" t="0" r="0" b="0"/>
                            <wp:docPr id="8" name="Picture 1" descr="C:\Users\biswas\Desktop\AHA_PostDocFellowship_2015\Research_Plan_ND\Table\TLR2_SAMPI4_June2015_25degTi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swas\Desktop\AHA_PostDocFellowship_2015\Research_Plan_ND\Table\TLR2_SAMPI4_June2015_25degTi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5424" t="38889" r="18567" b="255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725" cy="1924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0</wp:posOffset>
                </wp:positionV>
                <wp:extent cx="2793365" cy="207962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979" w:rsidRDefault="00A426B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583815" cy="1988185"/>
                                  <wp:effectExtent l="19050" t="0" r="6985" b="0"/>
                                  <wp:docPr id="9" name="Picture 2" descr="C:\Users\biswas\Desktop\TLR_Spectra\15N_TLR2_TMD_Leu_Tilt_Oct20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iswas\Desktop\TLR_Spectra\15N_TLR2_TMD_Leu_Tilt_Oct20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30000" t="37778" r="30000" b="322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815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.7pt;margin-top:0;width:219.95pt;height:163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" stroked="f">
                <v:textbox style="mso-fit-shape-to-text:t">
                  <w:txbxContent>
                    <w:p w:rsidR="00836979" w:rsidRDefault="00A426B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83815" cy="1988185"/>
                            <wp:effectExtent l="19050" t="0" r="6985" b="0"/>
                            <wp:docPr id="9" name="Picture 2" descr="C:\Users\biswas\Desktop\TLR_Spectra\15N_TLR2_TMD_Leu_Tilt_Oct20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iswas\Desktop\TLR_Spectra\15N_TLR2_TMD_Leu_Tilt_Oct20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30000" t="37778" r="30000" b="322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815" cy="198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836979" w:rsidRDefault="00836979" w:rsidP="00836979">
      <w:pPr>
        <w:rPr>
          <w:rFonts w:ascii="Arial" w:eastAsia="TimesNewRomanPSMT" w:hAnsi="Arial" w:cs="Arial"/>
          <w:color w:val="000000"/>
          <w:sz w:val="20"/>
          <w:szCs w:val="20"/>
        </w:rPr>
      </w:pPr>
    </w:p>
    <w:p w:rsidR="001E0319" w:rsidRDefault="001E0319" w:rsidP="00836979">
      <w:pPr>
        <w:rPr>
          <w:rFonts w:ascii="Arial" w:hAnsi="Arial" w:cs="Arial"/>
          <w:b/>
          <w:sz w:val="20"/>
          <w:szCs w:val="20"/>
        </w:rPr>
      </w:pPr>
    </w:p>
    <w:p w:rsidR="001E0319" w:rsidRDefault="001E0319" w:rsidP="00836979">
      <w:pPr>
        <w:rPr>
          <w:rFonts w:ascii="Arial" w:hAnsi="Arial" w:cs="Arial"/>
          <w:b/>
          <w:sz w:val="20"/>
          <w:szCs w:val="20"/>
        </w:rPr>
      </w:pPr>
    </w:p>
    <w:p w:rsidR="001E0319" w:rsidRDefault="001E0319" w:rsidP="00836979">
      <w:pPr>
        <w:rPr>
          <w:rFonts w:ascii="Arial" w:hAnsi="Arial" w:cs="Arial"/>
          <w:b/>
          <w:sz w:val="20"/>
          <w:szCs w:val="20"/>
        </w:rPr>
      </w:pPr>
    </w:p>
    <w:p w:rsidR="00836979" w:rsidRDefault="00836979" w:rsidP="00496A9E">
      <w:pPr>
        <w:ind w:left="450" w:right="540"/>
        <w:rPr>
          <w:rFonts w:ascii="Arial" w:eastAsia="TimesNewRomanPSMT" w:hAnsi="Arial" w:cs="Arial"/>
          <w:color w:val="000000"/>
          <w:sz w:val="20"/>
          <w:szCs w:val="20"/>
        </w:rPr>
      </w:pPr>
      <w:r w:rsidRPr="004B40CA">
        <w:rPr>
          <w:rFonts w:ascii="Arial" w:hAnsi="Arial" w:cs="Arial"/>
          <w:b/>
          <w:sz w:val="20"/>
          <w:szCs w:val="20"/>
        </w:rPr>
        <w:t>Figure 1: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2D SAMPI4</w:t>
      </w:r>
      <w:r w:rsidRPr="00F46824">
        <w:rPr>
          <w:rFonts w:ascii="Arial" w:hAnsi="Arial" w:cs="Arial"/>
          <w:sz w:val="20"/>
          <w:szCs w:val="20"/>
        </w:rPr>
        <w:t xml:space="preserve"> Spectra of </w:t>
      </w:r>
      <w:r w:rsidRPr="00F46824">
        <w:rPr>
          <w:rFonts w:ascii="Arial" w:hAnsi="Arial" w:cs="Arial"/>
          <w:sz w:val="20"/>
          <w:szCs w:val="20"/>
          <w:vertAlign w:val="superscript"/>
        </w:rPr>
        <w:t>15</w:t>
      </w:r>
      <w:r w:rsidR="00432592">
        <w:rPr>
          <w:rFonts w:ascii="Arial" w:hAnsi="Arial" w:cs="Arial"/>
          <w:sz w:val="20"/>
          <w:szCs w:val="20"/>
        </w:rPr>
        <w:t>N u</w:t>
      </w:r>
      <w:r>
        <w:rPr>
          <w:rFonts w:ascii="Arial" w:hAnsi="Arial" w:cs="Arial"/>
          <w:sz w:val="20"/>
          <w:szCs w:val="20"/>
        </w:rPr>
        <w:t>niform</w:t>
      </w:r>
      <w:r w:rsidR="00432592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labeled (1A) and </w:t>
      </w:r>
      <w:r w:rsidRPr="00836979"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N Leucine labeled TLR2 TMD (1B</w:t>
      </w:r>
      <w:r w:rsidRPr="00F46824">
        <w:rPr>
          <w:rFonts w:ascii="Arial" w:hAnsi="Arial" w:cs="Arial"/>
          <w:sz w:val="20"/>
          <w:szCs w:val="20"/>
        </w:rPr>
        <w:t>) in POPC: POPG lipid bilayer</w:t>
      </w:r>
      <w:r w:rsidR="000C30BB">
        <w:rPr>
          <w:rFonts w:ascii="Arial" w:hAnsi="Arial" w:cs="Arial"/>
          <w:sz w:val="20"/>
          <w:szCs w:val="20"/>
        </w:rPr>
        <w:t xml:space="preserve"> (4:1 mole/mole)</w:t>
      </w:r>
      <w:r w:rsidRPr="00F46824">
        <w:rPr>
          <w:rFonts w:ascii="Arial" w:hAnsi="Arial" w:cs="Arial"/>
          <w:sz w:val="20"/>
          <w:szCs w:val="20"/>
        </w:rPr>
        <w:t xml:space="preserve"> at </w:t>
      </w:r>
      <w:r w:rsidR="000C30BB">
        <w:rPr>
          <w:rFonts w:ascii="Arial" w:hAnsi="Arial" w:cs="Arial"/>
          <w:sz w:val="20"/>
          <w:szCs w:val="20"/>
        </w:rPr>
        <w:t>286K</w:t>
      </w:r>
      <w:r>
        <w:rPr>
          <w:rFonts w:ascii="Arial" w:hAnsi="Arial" w:cs="Arial"/>
          <w:sz w:val="20"/>
          <w:szCs w:val="20"/>
        </w:rPr>
        <w:t>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83697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Results and Conclusions</w:t>
      </w:r>
    </w:p>
    <w:p w:rsidR="00836979" w:rsidRDefault="00836979" w:rsidP="00836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868A6"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 xml:space="preserve">N </w:t>
      </w:r>
      <w:r w:rsidR="001E0319">
        <w:rPr>
          <w:rFonts w:ascii="Arial" w:hAnsi="Arial" w:cs="Arial"/>
          <w:sz w:val="20"/>
          <w:szCs w:val="20"/>
        </w:rPr>
        <w:t>u</w:t>
      </w:r>
      <w:r w:rsidR="009C29DE">
        <w:rPr>
          <w:rFonts w:ascii="Arial" w:hAnsi="Arial" w:cs="Arial"/>
          <w:sz w:val="20"/>
          <w:szCs w:val="20"/>
        </w:rPr>
        <w:t xml:space="preserve">niform labeled and </w:t>
      </w:r>
      <w:r w:rsidR="009C29DE" w:rsidRPr="001E0319">
        <w:rPr>
          <w:rFonts w:ascii="Arial" w:hAnsi="Arial" w:cs="Arial"/>
          <w:sz w:val="20"/>
          <w:szCs w:val="20"/>
          <w:vertAlign w:val="superscript"/>
        </w:rPr>
        <w:t>15</w:t>
      </w:r>
      <w:r w:rsidR="009C29DE">
        <w:rPr>
          <w:rFonts w:ascii="Arial" w:hAnsi="Arial" w:cs="Arial"/>
          <w:sz w:val="20"/>
          <w:szCs w:val="20"/>
        </w:rPr>
        <w:t xml:space="preserve">N </w:t>
      </w:r>
      <w:proofErr w:type="spellStart"/>
      <w:proofErr w:type="gramStart"/>
      <w:r w:rsidR="009C29DE">
        <w:rPr>
          <w:rFonts w:ascii="Arial" w:hAnsi="Arial" w:cs="Arial"/>
          <w:sz w:val="20"/>
          <w:szCs w:val="20"/>
        </w:rPr>
        <w:t>Leu</w:t>
      </w:r>
      <w:proofErr w:type="spellEnd"/>
      <w:r w:rsidR="009C29DE">
        <w:rPr>
          <w:rFonts w:ascii="Arial" w:hAnsi="Arial" w:cs="Arial"/>
          <w:sz w:val="20"/>
          <w:szCs w:val="20"/>
        </w:rPr>
        <w:t xml:space="preserve"> </w:t>
      </w:r>
      <w:r w:rsidR="001E0319">
        <w:rPr>
          <w:rFonts w:ascii="Arial" w:hAnsi="Arial" w:cs="Arial"/>
          <w:sz w:val="20"/>
          <w:szCs w:val="20"/>
        </w:rPr>
        <w:t xml:space="preserve"> labeled</w:t>
      </w:r>
      <w:proofErr w:type="gramEnd"/>
      <w:r w:rsidR="001E0319">
        <w:rPr>
          <w:rFonts w:ascii="Arial" w:hAnsi="Arial" w:cs="Arial"/>
          <w:sz w:val="20"/>
          <w:szCs w:val="20"/>
        </w:rPr>
        <w:t xml:space="preserve"> </w:t>
      </w:r>
      <w:r w:rsidR="009C29DE">
        <w:rPr>
          <w:rFonts w:ascii="Arial" w:hAnsi="Arial" w:cs="Arial"/>
          <w:sz w:val="20"/>
          <w:szCs w:val="20"/>
        </w:rPr>
        <w:t>SAMPI-4 spectra (Figure 1) shows the</w:t>
      </w:r>
      <w:r w:rsidR="001E0319">
        <w:rPr>
          <w:rFonts w:ascii="Arial" w:hAnsi="Arial" w:cs="Arial"/>
          <w:sz w:val="20"/>
          <w:szCs w:val="20"/>
        </w:rPr>
        <w:t xml:space="preserve"> TLR2 TMD</w:t>
      </w:r>
      <w:r w:rsidR="009C29DE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9C29DE">
        <w:rPr>
          <w:rFonts w:ascii="Arial" w:hAnsi="Arial" w:cs="Arial"/>
          <w:sz w:val="20"/>
          <w:szCs w:val="20"/>
        </w:rPr>
        <w:t>uniaxially</w:t>
      </w:r>
      <w:proofErr w:type="spellEnd"/>
      <w:r w:rsidR="009C29DE">
        <w:rPr>
          <w:rFonts w:ascii="Arial" w:hAnsi="Arial" w:cs="Arial"/>
          <w:sz w:val="20"/>
          <w:szCs w:val="20"/>
        </w:rPr>
        <w:t xml:space="preserve"> oriented in lipid bilayer with a tilt angle of 25</w:t>
      </w:r>
      <w:r w:rsidR="009C29DE">
        <w:rPr>
          <w:rFonts w:ascii="Calibri" w:hAnsi="Calibri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 w.r.t the bilayer normal. </w:t>
      </w:r>
      <w:r w:rsidRPr="000E0CE4">
        <w:rPr>
          <w:rFonts w:ascii="Arial" w:hAnsi="Arial" w:cs="Arial"/>
          <w:sz w:val="20"/>
          <w:szCs w:val="20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>N backbone sequence specific assignments</w:t>
      </w:r>
      <w:r w:rsidR="001E0319">
        <w:rPr>
          <w:rFonts w:ascii="Arial" w:hAnsi="Arial" w:cs="Arial"/>
          <w:sz w:val="20"/>
          <w:szCs w:val="20"/>
        </w:rPr>
        <w:t xml:space="preserve"> are</w:t>
      </w:r>
      <w:r w:rsidR="009C29DE">
        <w:rPr>
          <w:rFonts w:ascii="Arial" w:hAnsi="Arial" w:cs="Arial"/>
          <w:sz w:val="20"/>
          <w:szCs w:val="20"/>
        </w:rPr>
        <w:t xml:space="preserve"> initiated</w:t>
      </w:r>
      <w:r w:rsidR="001E0319">
        <w:rPr>
          <w:rFonts w:ascii="Arial" w:hAnsi="Arial" w:cs="Arial"/>
          <w:sz w:val="20"/>
          <w:szCs w:val="20"/>
        </w:rPr>
        <w:t xml:space="preserve"> (not shown)</w:t>
      </w:r>
      <w:r w:rsidR="009C2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 w:rsidR="001E031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simulated PISA wheel analysis</w:t>
      </w:r>
      <w:r w:rsidR="009C29DE">
        <w:rPr>
          <w:rFonts w:ascii="Arial" w:hAnsi="Arial" w:cs="Arial"/>
          <w:sz w:val="20"/>
          <w:szCs w:val="20"/>
        </w:rPr>
        <w:t xml:space="preserve"> </w:t>
      </w:r>
      <w:r w:rsidR="001E0319">
        <w:rPr>
          <w:rFonts w:ascii="Arial" w:hAnsi="Arial" w:cs="Arial"/>
          <w:sz w:val="20"/>
          <w:szCs w:val="20"/>
        </w:rPr>
        <w:t>superimposed on the helical wheel portion of the spectra</w:t>
      </w:r>
      <w:r>
        <w:rPr>
          <w:rFonts w:ascii="Arial" w:hAnsi="Arial" w:cs="Arial"/>
          <w:sz w:val="20"/>
          <w:szCs w:val="20"/>
        </w:rPr>
        <w:t>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9C29DE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his work was performed at the National</w:t>
      </w:r>
      <w:r w:rsidR="009C29DE">
        <w:rPr>
          <w:rFonts w:ascii="Arial" w:eastAsia="Times New Roman" w:hAnsi="Arial" w:cs="Arial"/>
          <w:sz w:val="20"/>
          <w:szCs w:val="20"/>
          <w:lang w:eastAsia="en-US"/>
        </w:rPr>
        <w:t xml:space="preserve"> High Magnetic Field Labora</w:t>
      </w:r>
      <w:r w:rsidR="00857978">
        <w:rPr>
          <w:rFonts w:ascii="Arial" w:eastAsia="Times New Roman" w:hAnsi="Arial" w:cs="Arial"/>
          <w:sz w:val="20"/>
          <w:szCs w:val="20"/>
          <w:lang w:eastAsia="en-US"/>
        </w:rPr>
        <w:t>tory</w:t>
      </w:r>
      <w:r w:rsidR="00496A9E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496A9E" w:rsidRPr="00334CEB">
        <w:rPr>
          <w:rFonts w:ascii="Arial" w:eastAsia="Times New Roman" w:hAnsi="Arial" w:cs="Arial"/>
          <w:sz w:val="20"/>
          <w:szCs w:val="20"/>
          <w:lang w:eastAsia="en-US"/>
        </w:rPr>
        <w:t>which is supported by National Science Foundation Coopera</w:t>
      </w:r>
      <w:r w:rsidR="00496A9E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496A9E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496A9E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496A9E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496A9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5797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6A9E">
        <w:rPr>
          <w:rFonts w:ascii="Arial" w:eastAsia="Times New Roman" w:hAnsi="Arial" w:cs="Arial"/>
          <w:sz w:val="20"/>
          <w:szCs w:val="20"/>
          <w:lang w:eastAsia="en-US"/>
        </w:rPr>
        <w:t xml:space="preserve">Support was also provided by </w:t>
      </w:r>
      <w:r w:rsidR="00857978" w:rsidRPr="00857978">
        <w:rPr>
          <w:rFonts w:ascii="Arial" w:eastAsia="Times New Roman" w:hAnsi="Arial" w:cs="Arial"/>
          <w:sz w:val="20"/>
          <w:szCs w:val="20"/>
          <w:lang w:eastAsia="en-US"/>
        </w:rPr>
        <w:t>NIH R01GM101279 and NIH R01GM103843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US"/>
        </w:rPr>
        <w:t>In addition,</w:t>
      </w:r>
      <w:r w:rsidR="00857978">
        <w:rPr>
          <w:rFonts w:ascii="Arial" w:eastAsia="Times New Roman" w:hAnsi="Arial" w:cs="Arial"/>
          <w:sz w:val="20"/>
          <w:szCs w:val="20"/>
          <w:lang w:eastAsia="en-US"/>
        </w:rPr>
        <w:t xml:space="preserve"> we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</w:t>
      </w:r>
      <w:r w:rsidRPr="00FB4399">
        <w:rPr>
          <w:rFonts w:ascii="Arial" w:hAnsi="Arial" w:cs="Arial"/>
          <w:sz w:val="20"/>
          <w:szCs w:val="20"/>
        </w:rPr>
        <w:t>cknowledge</w:t>
      </w:r>
      <w:r w:rsidR="00EA185C">
        <w:rPr>
          <w:rFonts w:ascii="Arial" w:hAnsi="Arial" w:cs="Arial"/>
          <w:sz w:val="20"/>
          <w:szCs w:val="20"/>
        </w:rPr>
        <w:t xml:space="preserve"> NHMFL u</w:t>
      </w:r>
      <w:r w:rsidR="00857978">
        <w:rPr>
          <w:rFonts w:ascii="Arial" w:hAnsi="Arial" w:cs="Arial"/>
          <w:sz w:val="20"/>
          <w:szCs w:val="20"/>
        </w:rPr>
        <w:t>ser</w:t>
      </w:r>
      <w:r w:rsidR="00496A9E">
        <w:rPr>
          <w:rFonts w:ascii="Arial" w:hAnsi="Arial" w:cs="Arial"/>
          <w:sz w:val="20"/>
          <w:szCs w:val="20"/>
        </w:rPr>
        <w:t>,</w:t>
      </w:r>
      <w:r w:rsidR="00857978">
        <w:rPr>
          <w:rFonts w:ascii="Arial" w:hAnsi="Arial" w:cs="Arial"/>
          <w:sz w:val="20"/>
          <w:szCs w:val="20"/>
        </w:rPr>
        <w:t xml:space="preserve"> Cristian Escobar</w:t>
      </w:r>
      <w:r w:rsidR="00496A9E">
        <w:rPr>
          <w:rFonts w:ascii="Arial" w:hAnsi="Arial" w:cs="Arial"/>
          <w:sz w:val="20"/>
          <w:szCs w:val="20"/>
        </w:rPr>
        <w:t>,</w:t>
      </w:r>
      <w:r w:rsidR="00857978">
        <w:rPr>
          <w:rFonts w:ascii="Arial" w:hAnsi="Arial" w:cs="Arial"/>
          <w:sz w:val="20"/>
          <w:szCs w:val="20"/>
        </w:rPr>
        <w:t xml:space="preserve"> and </w:t>
      </w:r>
      <w:r w:rsidR="00EA185C">
        <w:rPr>
          <w:rFonts w:ascii="Arial" w:hAnsi="Arial" w:cs="Arial"/>
          <w:sz w:val="20"/>
          <w:szCs w:val="20"/>
        </w:rPr>
        <w:t>scientist</w:t>
      </w:r>
      <w:r w:rsidR="00496A9E">
        <w:rPr>
          <w:rFonts w:ascii="Arial" w:hAnsi="Arial" w:cs="Arial"/>
          <w:sz w:val="20"/>
          <w:szCs w:val="20"/>
        </w:rPr>
        <w:t>,</w:t>
      </w:r>
      <w:r w:rsidR="00A1633A">
        <w:rPr>
          <w:rFonts w:ascii="Arial" w:hAnsi="Arial" w:cs="Arial"/>
          <w:sz w:val="20"/>
          <w:szCs w:val="20"/>
        </w:rPr>
        <w:t xml:space="preserve"> </w:t>
      </w:r>
      <w:r w:rsidR="00857978">
        <w:rPr>
          <w:rFonts w:ascii="Arial" w:hAnsi="Arial" w:cs="Arial"/>
          <w:sz w:val="20"/>
          <w:szCs w:val="20"/>
        </w:rPr>
        <w:t>Dr. R. Fu</w:t>
      </w:r>
      <w:r w:rsidR="00496A9E">
        <w:rPr>
          <w:rFonts w:ascii="Arial" w:hAnsi="Arial" w:cs="Arial"/>
          <w:sz w:val="20"/>
          <w:szCs w:val="20"/>
        </w:rPr>
        <w:t>,</w:t>
      </w:r>
      <w:r w:rsidR="00857978">
        <w:rPr>
          <w:rFonts w:ascii="Arial" w:hAnsi="Arial" w:cs="Arial"/>
          <w:sz w:val="20"/>
          <w:szCs w:val="20"/>
        </w:rPr>
        <w:t xml:space="preserve"> for all technical assistance </w:t>
      </w:r>
      <w:r w:rsidR="00163964">
        <w:rPr>
          <w:rFonts w:ascii="Arial" w:hAnsi="Arial" w:cs="Arial"/>
          <w:sz w:val="20"/>
          <w:szCs w:val="20"/>
        </w:rPr>
        <w:t>we obtained in order to carry out these experiment</w:t>
      </w:r>
      <w:r w:rsidR="00EA185C">
        <w:rPr>
          <w:rFonts w:ascii="Arial" w:hAnsi="Arial" w:cs="Arial"/>
          <w:sz w:val="20"/>
          <w:szCs w:val="20"/>
        </w:rPr>
        <w:t>s</w:t>
      </w:r>
      <w:r w:rsidR="00163964">
        <w:rPr>
          <w:rFonts w:ascii="Arial" w:hAnsi="Arial" w:cs="Arial"/>
          <w:sz w:val="20"/>
          <w:szCs w:val="20"/>
        </w:rPr>
        <w:t xml:space="preserve"> </w:t>
      </w:r>
      <w:r w:rsidR="00496A9E">
        <w:rPr>
          <w:rFonts w:ascii="Arial" w:hAnsi="Arial" w:cs="Arial"/>
          <w:sz w:val="20"/>
          <w:szCs w:val="20"/>
        </w:rPr>
        <w:t>at the</w:t>
      </w:r>
      <w:r w:rsidR="00163964">
        <w:rPr>
          <w:rFonts w:ascii="Arial" w:hAnsi="Arial" w:cs="Arial"/>
          <w:sz w:val="20"/>
          <w:szCs w:val="20"/>
        </w:rPr>
        <w:t xml:space="preserve"> NHMFL.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76D2C" w:rsidRDefault="0085797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 w:rsidRPr="00496A9E">
        <w:rPr>
          <w:rFonts w:ascii="Arial" w:hAnsi="Arial" w:cs="Arial"/>
          <w:sz w:val="20"/>
          <w:szCs w:val="20"/>
        </w:rPr>
        <w:t>Das</w:t>
      </w:r>
      <w:r w:rsidR="00496A9E">
        <w:rPr>
          <w:rFonts w:ascii="Arial" w:hAnsi="Arial" w:cs="Arial"/>
          <w:sz w:val="20"/>
          <w:szCs w:val="20"/>
        </w:rPr>
        <w:t>,</w:t>
      </w:r>
      <w:r w:rsidRPr="00496A9E">
        <w:rPr>
          <w:rFonts w:ascii="Arial" w:hAnsi="Arial" w:cs="Arial"/>
          <w:sz w:val="20"/>
          <w:szCs w:val="20"/>
        </w:rPr>
        <w:t xml:space="preserve"> N</w:t>
      </w:r>
      <w:r w:rsidR="00496A9E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 w:rsidRPr="00496A9E">
        <w:rPr>
          <w:rFonts w:ascii="Arial" w:hAnsi="Arial" w:cs="Arial"/>
          <w:i/>
          <w:sz w:val="20"/>
          <w:szCs w:val="20"/>
        </w:rPr>
        <w:t>et al.</w:t>
      </w:r>
      <w:r w:rsidR="00496A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55F16">
        <w:rPr>
          <w:rFonts w:ascii="Arial" w:hAnsi="Arial" w:cs="Arial"/>
          <w:sz w:val="20"/>
          <w:szCs w:val="20"/>
        </w:rPr>
        <w:t xml:space="preserve">Nat </w:t>
      </w:r>
      <w:proofErr w:type="spellStart"/>
      <w:r w:rsidRPr="00B55F16">
        <w:rPr>
          <w:rFonts w:ascii="Arial" w:hAnsi="Arial" w:cs="Arial"/>
          <w:sz w:val="20"/>
          <w:szCs w:val="20"/>
        </w:rPr>
        <w:t>Protoc</w:t>
      </w:r>
      <w:proofErr w:type="spellEnd"/>
      <w:r w:rsidRPr="00B55F16">
        <w:rPr>
          <w:rFonts w:ascii="Arial" w:hAnsi="Arial" w:cs="Arial"/>
          <w:sz w:val="20"/>
          <w:szCs w:val="20"/>
        </w:rPr>
        <w:t>.</w:t>
      </w:r>
      <w:r w:rsidR="00496A9E">
        <w:rPr>
          <w:rFonts w:ascii="Arial" w:hAnsi="Arial" w:cs="Arial"/>
          <w:sz w:val="20"/>
          <w:szCs w:val="20"/>
        </w:rPr>
        <w:t>,</w:t>
      </w:r>
      <w:r w:rsidRPr="00B55F16">
        <w:rPr>
          <w:rFonts w:ascii="Arial" w:hAnsi="Arial" w:cs="Arial"/>
          <w:sz w:val="20"/>
          <w:szCs w:val="20"/>
        </w:rPr>
        <w:t xml:space="preserve"> </w:t>
      </w:r>
      <w:r w:rsidRPr="00496A9E">
        <w:rPr>
          <w:rFonts w:ascii="Arial" w:hAnsi="Arial" w:cs="Arial"/>
          <w:b/>
          <w:sz w:val="20"/>
          <w:szCs w:val="20"/>
        </w:rPr>
        <w:t>8(11)</w:t>
      </w:r>
      <w:r w:rsidR="00496A9E">
        <w:rPr>
          <w:rFonts w:ascii="Arial" w:hAnsi="Arial" w:cs="Arial"/>
          <w:sz w:val="20"/>
          <w:szCs w:val="20"/>
        </w:rPr>
        <w:t xml:space="preserve">, </w:t>
      </w:r>
      <w:r w:rsidRPr="00B55F16">
        <w:rPr>
          <w:rFonts w:ascii="Arial" w:hAnsi="Arial" w:cs="Arial"/>
          <w:sz w:val="20"/>
          <w:szCs w:val="20"/>
        </w:rPr>
        <w:t>2256-70 (2013)</w:t>
      </w:r>
      <w:r>
        <w:rPr>
          <w:rFonts w:ascii="Arial" w:hAnsi="Arial" w:cs="Arial"/>
          <w:sz w:val="20"/>
          <w:szCs w:val="20"/>
        </w:rPr>
        <w:t>.</w:t>
      </w:r>
    </w:p>
    <w:p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7" w:rsidRDefault="000C4A77">
      <w:r>
        <w:separator/>
      </w:r>
    </w:p>
  </w:endnote>
  <w:endnote w:type="continuationSeparator" w:id="0">
    <w:p w:rsidR="000C4A77" w:rsidRDefault="000C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7" w:rsidRDefault="000C4A77">
      <w:r>
        <w:separator/>
      </w:r>
    </w:p>
  </w:footnote>
  <w:footnote w:type="continuationSeparator" w:id="0">
    <w:p w:rsidR="000C4A77" w:rsidRDefault="000C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874FA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A426B6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7380"/>
          <wp:effectExtent l="19050" t="0" r="0" b="0"/>
          <wp:docPr id="3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C30BB"/>
    <w:rsid w:val="000C4A77"/>
    <w:rsid w:val="000D7450"/>
    <w:rsid w:val="000E1D4F"/>
    <w:rsid w:val="00104A4C"/>
    <w:rsid w:val="00113D92"/>
    <w:rsid w:val="00120180"/>
    <w:rsid w:val="0014131B"/>
    <w:rsid w:val="00141FE9"/>
    <w:rsid w:val="00151C80"/>
    <w:rsid w:val="00155AD2"/>
    <w:rsid w:val="00163964"/>
    <w:rsid w:val="00167606"/>
    <w:rsid w:val="001836FA"/>
    <w:rsid w:val="0018419E"/>
    <w:rsid w:val="0018697C"/>
    <w:rsid w:val="00187023"/>
    <w:rsid w:val="001D59E4"/>
    <w:rsid w:val="001E0319"/>
    <w:rsid w:val="001E526E"/>
    <w:rsid w:val="001E5ECF"/>
    <w:rsid w:val="001E6BF4"/>
    <w:rsid w:val="001F6D61"/>
    <w:rsid w:val="00231335"/>
    <w:rsid w:val="00233F11"/>
    <w:rsid w:val="00241739"/>
    <w:rsid w:val="002426D5"/>
    <w:rsid w:val="002524EE"/>
    <w:rsid w:val="00265A15"/>
    <w:rsid w:val="00274474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6369"/>
    <w:rsid w:val="00432592"/>
    <w:rsid w:val="00450C97"/>
    <w:rsid w:val="00486FF9"/>
    <w:rsid w:val="0049187D"/>
    <w:rsid w:val="00491C5D"/>
    <w:rsid w:val="00496A9E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0253"/>
    <w:rsid w:val="007D3105"/>
    <w:rsid w:val="007E2F28"/>
    <w:rsid w:val="00836979"/>
    <w:rsid w:val="00857978"/>
    <w:rsid w:val="00862CB5"/>
    <w:rsid w:val="00874FA1"/>
    <w:rsid w:val="00883638"/>
    <w:rsid w:val="008A1D84"/>
    <w:rsid w:val="008B05B8"/>
    <w:rsid w:val="008C2F97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29DE"/>
    <w:rsid w:val="009C318D"/>
    <w:rsid w:val="009C3DF0"/>
    <w:rsid w:val="009C7F31"/>
    <w:rsid w:val="009D39A4"/>
    <w:rsid w:val="009E4F1E"/>
    <w:rsid w:val="00A1227A"/>
    <w:rsid w:val="00A1633A"/>
    <w:rsid w:val="00A426B6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972CA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4097D"/>
    <w:rsid w:val="00E411D1"/>
    <w:rsid w:val="00E43BB4"/>
    <w:rsid w:val="00E5095B"/>
    <w:rsid w:val="00E57E61"/>
    <w:rsid w:val="00E60509"/>
    <w:rsid w:val="00EA185C"/>
    <w:rsid w:val="00EA1E33"/>
    <w:rsid w:val="00EB489A"/>
    <w:rsid w:val="00EB515D"/>
    <w:rsid w:val="00ED1632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5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5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14629-2096-4E63-AEB9-97648424EF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2015-07-15T23:10:00Z</cp:lastPrinted>
  <dcterms:created xsi:type="dcterms:W3CDTF">2016-02-10T14:40:00Z</dcterms:created>
  <dcterms:modified xsi:type="dcterms:W3CDTF">2016-02-10T14:42:00Z</dcterms:modified>
</cp:coreProperties>
</file>