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A167" w14:textId="7F0B2E76" w:rsidR="00FB4399" w:rsidRDefault="008F521A" w:rsidP="00273F55">
      <w:pPr>
        <w:tabs>
          <w:tab w:val="left" w:pos="360"/>
        </w:tabs>
        <w:jc w:val="center"/>
        <w:rPr>
          <w:rFonts w:ascii="Arial" w:hAnsi="Arial" w:cs="Arial"/>
          <w:b/>
          <w:sz w:val="20"/>
          <w:szCs w:val="20"/>
        </w:rPr>
      </w:pPr>
      <w:r w:rsidRPr="008F521A">
        <w:rPr>
          <w:rFonts w:ascii="Arial" w:hAnsi="Arial" w:cs="Arial"/>
          <w:b/>
        </w:rPr>
        <w:t>Biomarker Discovery and Metabolic Profiling in Plasma for Non-Alcoholic Steatohepatitis</w:t>
      </w:r>
    </w:p>
    <w:p w14:paraId="6B0255DB" w14:textId="77777777" w:rsidR="008F521A" w:rsidRPr="008F521A" w:rsidRDefault="008F521A" w:rsidP="0049187D">
      <w:pPr>
        <w:tabs>
          <w:tab w:val="left" w:pos="360"/>
        </w:tabs>
        <w:rPr>
          <w:rFonts w:ascii="Arial" w:hAnsi="Arial" w:cs="Arial"/>
          <w:b/>
          <w:sz w:val="20"/>
          <w:szCs w:val="20"/>
        </w:rPr>
      </w:pPr>
    </w:p>
    <w:p w14:paraId="19C8A168" w14:textId="19A8171F" w:rsidR="00A94FC4" w:rsidRDefault="008F521A" w:rsidP="0049187D">
      <w:pPr>
        <w:pBdr>
          <w:bottom w:val="single" w:sz="12" w:space="1" w:color="auto"/>
        </w:pBdr>
        <w:tabs>
          <w:tab w:val="left" w:pos="360"/>
        </w:tabs>
        <w:rPr>
          <w:rFonts w:ascii="Arial" w:hAnsi="Arial" w:cs="Arial"/>
          <w:sz w:val="20"/>
          <w:szCs w:val="20"/>
        </w:rPr>
      </w:pPr>
      <w:r>
        <w:rPr>
          <w:rFonts w:ascii="Arial" w:hAnsi="Arial" w:cs="Arial"/>
          <w:sz w:val="20"/>
          <w:szCs w:val="20"/>
        </w:rPr>
        <w:t>Sunny, N.E</w:t>
      </w:r>
      <w:r w:rsidR="00FB4399">
        <w:rPr>
          <w:rFonts w:ascii="Arial" w:hAnsi="Arial" w:cs="Arial"/>
          <w:sz w:val="20"/>
          <w:szCs w:val="20"/>
        </w:rPr>
        <w:t>.</w:t>
      </w:r>
      <w:r>
        <w:rPr>
          <w:rFonts w:ascii="Arial" w:hAnsi="Arial" w:cs="Arial"/>
          <w:sz w:val="20"/>
          <w:szCs w:val="20"/>
        </w:rPr>
        <w:t xml:space="preserve"> (UF</w:t>
      </w:r>
      <w:r w:rsidR="00CB4058" w:rsidRPr="006B3824">
        <w:rPr>
          <w:rFonts w:ascii="Arial" w:hAnsi="Arial" w:cs="Arial"/>
          <w:sz w:val="20"/>
          <w:szCs w:val="20"/>
        </w:rPr>
        <w:t>,</w:t>
      </w:r>
      <w:r>
        <w:rPr>
          <w:rFonts w:ascii="Arial" w:hAnsi="Arial" w:cs="Arial"/>
          <w:sz w:val="20"/>
          <w:szCs w:val="20"/>
        </w:rPr>
        <w:t xml:space="preserve"> Medicine</w:t>
      </w:r>
      <w:r w:rsidR="00A94FC4" w:rsidRPr="006B3824">
        <w:rPr>
          <w:rFonts w:ascii="Arial" w:hAnsi="Arial" w:cs="Arial"/>
          <w:sz w:val="20"/>
          <w:szCs w:val="20"/>
        </w:rPr>
        <w:t>)</w:t>
      </w:r>
      <w:r w:rsidR="00273F55">
        <w:rPr>
          <w:rFonts w:ascii="Arial" w:hAnsi="Arial" w:cs="Arial"/>
          <w:sz w:val="20"/>
          <w:szCs w:val="20"/>
        </w:rPr>
        <w:t xml:space="preserve"> and</w:t>
      </w:r>
      <w:r w:rsidR="00A94FC4" w:rsidRPr="006B3824">
        <w:rPr>
          <w:rFonts w:ascii="Arial" w:hAnsi="Arial" w:cs="Arial"/>
          <w:sz w:val="20"/>
          <w:szCs w:val="20"/>
        </w:rPr>
        <w:t xml:space="preserve"> </w:t>
      </w:r>
      <w:proofErr w:type="spellStart"/>
      <w:r>
        <w:rPr>
          <w:rFonts w:ascii="Arial" w:hAnsi="Arial" w:cs="Arial"/>
          <w:sz w:val="20"/>
          <w:szCs w:val="20"/>
          <w:u w:val="single"/>
        </w:rPr>
        <w:t>Cusi</w:t>
      </w:r>
      <w:proofErr w:type="spellEnd"/>
      <w:r>
        <w:rPr>
          <w:rFonts w:ascii="Arial" w:hAnsi="Arial" w:cs="Arial"/>
          <w:sz w:val="20"/>
          <w:szCs w:val="20"/>
          <w:u w:val="single"/>
        </w:rPr>
        <w:t>, K</w:t>
      </w:r>
      <w:r w:rsidR="00FB4399">
        <w:rPr>
          <w:rFonts w:ascii="Arial" w:hAnsi="Arial" w:cs="Arial"/>
          <w:sz w:val="20"/>
          <w:szCs w:val="20"/>
          <w:u w:val="single"/>
        </w:rPr>
        <w:t>.</w:t>
      </w:r>
      <w:r w:rsidR="00FF1230">
        <w:rPr>
          <w:rFonts w:ascii="Arial" w:hAnsi="Arial" w:cs="Arial"/>
          <w:sz w:val="20"/>
          <w:szCs w:val="20"/>
        </w:rPr>
        <w:t xml:space="preserve"> (UF, Medicine)</w:t>
      </w:r>
    </w:p>
    <w:p w14:paraId="7B0CD2D4" w14:textId="77777777" w:rsidR="00273F55" w:rsidRPr="006B3824" w:rsidRDefault="00273F55" w:rsidP="0049187D">
      <w:pPr>
        <w:pBdr>
          <w:bottom w:val="single" w:sz="12" w:space="1" w:color="auto"/>
        </w:pBdr>
        <w:tabs>
          <w:tab w:val="left" w:pos="360"/>
        </w:tabs>
        <w:rPr>
          <w:rFonts w:ascii="Arial" w:hAnsi="Arial" w:cs="Arial"/>
          <w:sz w:val="20"/>
          <w:szCs w:val="20"/>
        </w:rPr>
      </w:pPr>
    </w:p>
    <w:p w14:paraId="19C8A16B" w14:textId="595B7712"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14:paraId="0B5AD58A" w14:textId="23BD1BE0" w:rsidR="00C82DCA" w:rsidRPr="00C82DCA" w:rsidRDefault="006B3824" w:rsidP="00675757">
      <w:pPr>
        <w:tabs>
          <w:tab w:val="left" w:pos="360"/>
        </w:tabs>
        <w:rPr>
          <w:rFonts w:ascii="Arial" w:hAnsi="Arial" w:cs="Arial"/>
          <w:sz w:val="20"/>
          <w:szCs w:val="20"/>
        </w:rPr>
      </w:pPr>
      <w:r w:rsidRPr="006B3824">
        <w:rPr>
          <w:rFonts w:ascii="Arial" w:hAnsi="Arial" w:cs="Arial"/>
          <w:sz w:val="20"/>
          <w:szCs w:val="20"/>
        </w:rPr>
        <w:tab/>
      </w:r>
      <w:r w:rsidR="00C82DCA" w:rsidRPr="00C82DCA">
        <w:rPr>
          <w:rFonts w:ascii="Arial" w:hAnsi="Arial" w:cs="Arial"/>
          <w:sz w:val="20"/>
          <w:szCs w:val="20"/>
        </w:rPr>
        <w:t xml:space="preserve">The hepatic tri-carboxylic acid (TCA) cycle is central to integrating macronutrient metabolism, and is closely coupled to cellular respiration, free radical generation and inflammation. Oxidative flux through the TCA cycle is induced during hepatic insulin resistance, in mice and humans with simple steatosis, reflecting early compensatory remodeling of mitochondrial energetics. We hypothesized that progressive severity of hepatic insulin resistance and the onset of nonalcoholic steatohepatitis (NASH) would impair oxidative flux through hepatic TCA cycle. Mice (C57/BL6) were fed a high trans-fat high fructose diet (TFD) for 8-weeks to induce simple steatosis and NASH by 24-weeks. In vivo fasting hepatic mitochondrial fluxes were determined by </w:t>
      </w:r>
      <w:r w:rsidR="00C82DCA" w:rsidRPr="00C82DCA">
        <w:rPr>
          <w:rFonts w:ascii="Arial" w:hAnsi="Arial" w:cs="Arial"/>
          <w:sz w:val="20"/>
          <w:szCs w:val="20"/>
          <w:vertAlign w:val="superscript"/>
        </w:rPr>
        <w:t>13</w:t>
      </w:r>
      <w:r w:rsidR="00C82DCA" w:rsidRPr="00C82DCA">
        <w:rPr>
          <w:rFonts w:ascii="Arial" w:hAnsi="Arial" w:cs="Arial"/>
          <w:sz w:val="20"/>
          <w:szCs w:val="20"/>
        </w:rPr>
        <w:t xml:space="preserve">C-nuclear magnetic resonance (NMR) based </w:t>
      </w:r>
      <w:proofErr w:type="spellStart"/>
      <w:r w:rsidR="00C82DCA" w:rsidRPr="00C82DCA">
        <w:rPr>
          <w:rFonts w:ascii="Arial" w:hAnsi="Arial" w:cs="Arial"/>
          <w:sz w:val="20"/>
          <w:szCs w:val="20"/>
        </w:rPr>
        <w:t>isotopomer</w:t>
      </w:r>
      <w:proofErr w:type="spellEnd"/>
      <w:r w:rsidR="00C82DCA" w:rsidRPr="00C82DCA">
        <w:rPr>
          <w:rFonts w:ascii="Arial" w:hAnsi="Arial" w:cs="Arial"/>
          <w:sz w:val="20"/>
          <w:szCs w:val="20"/>
        </w:rPr>
        <w:t xml:space="preserve"> analysis.</w:t>
      </w:r>
      <w:r w:rsidR="00C82DCA">
        <w:rPr>
          <w:rFonts w:ascii="Arial" w:hAnsi="Arial" w:cs="Arial"/>
          <w:sz w:val="20"/>
          <w:szCs w:val="20"/>
        </w:rPr>
        <w:t xml:space="preserve"> </w:t>
      </w:r>
      <w:r w:rsidR="00C82DCA" w:rsidRPr="00C82DCA">
        <w:rPr>
          <w:rFonts w:ascii="Arial" w:hAnsi="Arial" w:cs="Arial"/>
          <w:sz w:val="20"/>
          <w:szCs w:val="20"/>
        </w:rPr>
        <w:t>Hepatic metabolic intermediates were quantified utilizing mass spectrometry based targeted metabolomics.</w:t>
      </w:r>
    </w:p>
    <w:p w14:paraId="19C8A170" w14:textId="0609117F"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r w:rsidR="00A91BA4" w:rsidRPr="00A91BA4">
        <w:rPr>
          <w:rFonts w:ascii="Arial" w:hAnsi="Arial" w:cs="Arial"/>
          <w:b/>
          <w:sz w:val="20"/>
          <w:szCs w:val="20"/>
        </w:rPr>
        <w:t>Protocol</w:t>
      </w:r>
    </w:p>
    <w:p w14:paraId="73153D2C" w14:textId="28E32995" w:rsidR="00A91BA4" w:rsidRPr="00A91BA4" w:rsidRDefault="00C82DCA" w:rsidP="00273F55">
      <w:pPr>
        <w:ind w:firstLine="360"/>
        <w:rPr>
          <w:rFonts w:ascii="Arial" w:hAnsi="Arial" w:cs="Arial"/>
          <w:sz w:val="20"/>
          <w:szCs w:val="20"/>
        </w:rPr>
      </w:pPr>
      <w:r w:rsidRPr="00C82DCA">
        <w:rPr>
          <w:rFonts w:ascii="Arial" w:hAnsi="Arial" w:cs="Arial"/>
          <w:sz w:val="20"/>
          <w:szCs w:val="20"/>
        </w:rPr>
        <w:t xml:space="preserve">Male mice (C57BL/6) purchased from Jackson Laboratories (Bar Harbor, ME) at 6-8 </w:t>
      </w:r>
      <w:proofErr w:type="spellStart"/>
      <w:r w:rsidRPr="00C82DCA">
        <w:rPr>
          <w:rFonts w:ascii="Arial" w:hAnsi="Arial" w:cs="Arial"/>
          <w:sz w:val="20"/>
          <w:szCs w:val="20"/>
        </w:rPr>
        <w:t>wks</w:t>
      </w:r>
      <w:proofErr w:type="spellEnd"/>
      <w:r w:rsidRPr="00C82DCA">
        <w:rPr>
          <w:rFonts w:ascii="Arial" w:hAnsi="Arial" w:cs="Arial"/>
          <w:sz w:val="20"/>
          <w:szCs w:val="20"/>
        </w:rPr>
        <w:t xml:space="preserve"> were fed either a control diet: (C; 10% fat calories; Research Diets, Inc. # D09100304) or a high trans-fat high fructose diet (TFD; 40% fat calories; Research Diets, Inc.#</w:t>
      </w:r>
      <w:r w:rsidR="00510882">
        <w:rPr>
          <w:rFonts w:ascii="Arial" w:hAnsi="Arial" w:cs="Arial"/>
          <w:sz w:val="20"/>
          <w:szCs w:val="20"/>
        </w:rPr>
        <w:t xml:space="preserve"> D09100301) for 8 or 24 weeks. </w:t>
      </w:r>
      <w:r w:rsidRPr="00C82DCA">
        <w:rPr>
          <w:rFonts w:ascii="Arial" w:hAnsi="Arial" w:cs="Arial"/>
          <w:sz w:val="20"/>
          <w:szCs w:val="20"/>
        </w:rPr>
        <w:t>At 8 weeks of TFD feeding, mice had already developed simple steatosis, whereas 24 weeks on TFD resulted in dev</w:t>
      </w:r>
      <w:r w:rsidR="00510882">
        <w:rPr>
          <w:rFonts w:ascii="Arial" w:hAnsi="Arial" w:cs="Arial"/>
          <w:sz w:val="20"/>
          <w:szCs w:val="20"/>
        </w:rPr>
        <w:t xml:space="preserve">elopment of NASH </w:t>
      </w:r>
      <w:r w:rsidR="00A008CB">
        <w:rPr>
          <w:rFonts w:ascii="Arial" w:hAnsi="Arial" w:cs="Arial"/>
          <w:sz w:val="20"/>
          <w:szCs w:val="20"/>
        </w:rPr>
        <w:t>(1)</w:t>
      </w:r>
      <w:r w:rsidRPr="00C82DCA">
        <w:rPr>
          <w:rFonts w:ascii="Arial" w:hAnsi="Arial" w:cs="Arial"/>
          <w:sz w:val="20"/>
          <w:szCs w:val="20"/>
        </w:rPr>
        <w:t>.</w:t>
      </w:r>
      <w:r w:rsidR="00510882">
        <w:rPr>
          <w:rFonts w:ascii="Arial" w:hAnsi="Arial" w:cs="Arial"/>
          <w:sz w:val="20"/>
          <w:szCs w:val="20"/>
        </w:rPr>
        <w:t xml:space="preserve"> </w:t>
      </w:r>
      <w:r w:rsidR="002E3FE1">
        <w:rPr>
          <w:rFonts w:ascii="Arial" w:hAnsi="Arial" w:cs="Arial"/>
          <w:sz w:val="20"/>
          <w:szCs w:val="20"/>
        </w:rPr>
        <w:t>We are determined</w:t>
      </w:r>
      <w:r w:rsidR="00A91BA4" w:rsidRPr="00A91BA4">
        <w:rPr>
          <w:rFonts w:ascii="Arial" w:hAnsi="Arial" w:cs="Arial"/>
          <w:sz w:val="20"/>
          <w:szCs w:val="20"/>
        </w:rPr>
        <w:t xml:space="preserve"> in vivo hepatic mitochondrial fluxes by infusion of stable isotopes via the chronic indwelling jugular vein catheter in conscious unrestrained mice</w:t>
      </w:r>
      <w:r w:rsidR="00A008CB">
        <w:rPr>
          <w:rFonts w:ascii="Arial" w:hAnsi="Arial" w:cs="Arial"/>
          <w:sz w:val="20"/>
          <w:szCs w:val="20"/>
        </w:rPr>
        <w:t xml:space="preserve"> (2)</w:t>
      </w:r>
      <w:r w:rsidR="00A91BA4" w:rsidRPr="00A91BA4">
        <w:rPr>
          <w:rFonts w:ascii="Arial" w:hAnsi="Arial" w:cs="Arial"/>
          <w:sz w:val="20"/>
          <w:szCs w:val="20"/>
        </w:rPr>
        <w:t>. On the morning of the infusion, a cocktail of [</w:t>
      </w:r>
      <w:r w:rsidR="00A91BA4" w:rsidRPr="00A91BA4">
        <w:rPr>
          <w:rFonts w:ascii="Arial" w:hAnsi="Arial" w:cs="Arial"/>
          <w:sz w:val="20"/>
          <w:szCs w:val="20"/>
          <w:vertAlign w:val="superscript"/>
        </w:rPr>
        <w:t>13</w:t>
      </w:r>
      <w:r w:rsidR="00A91BA4" w:rsidRPr="00A91BA4">
        <w:rPr>
          <w:rFonts w:ascii="Arial" w:hAnsi="Arial" w:cs="Arial"/>
          <w:sz w:val="20"/>
          <w:szCs w:val="20"/>
        </w:rPr>
        <w:t>C</w:t>
      </w:r>
      <w:r w:rsidR="00A91BA4" w:rsidRPr="00A91BA4">
        <w:rPr>
          <w:rFonts w:ascii="Arial" w:hAnsi="Arial" w:cs="Arial"/>
          <w:sz w:val="20"/>
          <w:szCs w:val="20"/>
          <w:vertAlign w:val="subscript"/>
        </w:rPr>
        <w:t>3</w:t>
      </w:r>
      <w:proofErr w:type="gramStart"/>
      <w:r w:rsidR="00A91BA4" w:rsidRPr="00A91BA4">
        <w:rPr>
          <w:rFonts w:ascii="Arial" w:hAnsi="Arial" w:cs="Arial"/>
          <w:sz w:val="20"/>
          <w:szCs w:val="20"/>
        </w:rPr>
        <w:t>]propionate</w:t>
      </w:r>
      <w:proofErr w:type="gramEnd"/>
      <w:r w:rsidR="00A91BA4" w:rsidRPr="00A91BA4">
        <w:rPr>
          <w:rFonts w:ascii="Arial" w:hAnsi="Arial" w:cs="Arial"/>
          <w:sz w:val="20"/>
          <w:szCs w:val="20"/>
        </w:rPr>
        <w:t xml:space="preserve"> and [3,4-</w:t>
      </w:r>
      <w:r w:rsidR="00A91BA4" w:rsidRPr="00A91BA4">
        <w:rPr>
          <w:rFonts w:ascii="Arial" w:hAnsi="Arial" w:cs="Arial"/>
          <w:sz w:val="20"/>
          <w:szCs w:val="20"/>
          <w:vertAlign w:val="superscript"/>
        </w:rPr>
        <w:t>13</w:t>
      </w:r>
      <w:r w:rsidR="00A91BA4" w:rsidRPr="00A91BA4">
        <w:rPr>
          <w:rFonts w:ascii="Arial" w:hAnsi="Arial" w:cs="Arial"/>
          <w:sz w:val="20"/>
          <w:szCs w:val="20"/>
        </w:rPr>
        <w:t>C</w:t>
      </w:r>
      <w:r w:rsidR="00A91BA4" w:rsidRPr="00A91BA4">
        <w:rPr>
          <w:rFonts w:ascii="Arial" w:hAnsi="Arial" w:cs="Arial"/>
          <w:sz w:val="20"/>
          <w:szCs w:val="20"/>
          <w:vertAlign w:val="subscript"/>
        </w:rPr>
        <w:t>2</w:t>
      </w:r>
      <w:r w:rsidR="00A91BA4" w:rsidRPr="00A91BA4">
        <w:rPr>
          <w:rFonts w:ascii="Arial" w:hAnsi="Arial" w:cs="Arial"/>
          <w:sz w:val="20"/>
          <w:szCs w:val="20"/>
        </w:rPr>
        <w:t>]glucose were infused into the mice for 90 min to determine TCA cycle activity and endogenous glucose production respectively</w:t>
      </w:r>
      <w:r w:rsidR="00A008CB">
        <w:rPr>
          <w:rFonts w:ascii="Arial" w:hAnsi="Arial" w:cs="Arial"/>
          <w:sz w:val="20"/>
          <w:szCs w:val="20"/>
        </w:rPr>
        <w:t xml:space="preserve"> (2)</w:t>
      </w:r>
      <w:r w:rsidR="00A91BA4" w:rsidRPr="00A91BA4">
        <w:rPr>
          <w:rFonts w:ascii="Arial" w:hAnsi="Arial" w:cs="Arial"/>
          <w:sz w:val="20"/>
          <w:szCs w:val="20"/>
        </w:rPr>
        <w:t xml:space="preserve">. Upon completion of the infusion, blood was collected by exsanguination under anesthesia and processed for NMR </w:t>
      </w:r>
      <w:proofErr w:type="spellStart"/>
      <w:r w:rsidR="00A91BA4" w:rsidRPr="00A91BA4">
        <w:rPr>
          <w:rFonts w:ascii="Arial" w:hAnsi="Arial" w:cs="Arial"/>
          <w:sz w:val="20"/>
          <w:szCs w:val="20"/>
        </w:rPr>
        <w:t>isotopomer</w:t>
      </w:r>
      <w:proofErr w:type="spellEnd"/>
      <w:r w:rsidR="00A91BA4" w:rsidRPr="00A91BA4">
        <w:rPr>
          <w:rFonts w:ascii="Arial" w:hAnsi="Arial" w:cs="Arial"/>
          <w:sz w:val="20"/>
          <w:szCs w:val="20"/>
        </w:rPr>
        <w:t xml:space="preserve"> analysis of mono acetone glucose as described earlier</w:t>
      </w:r>
      <w:r w:rsidR="00A008CB">
        <w:rPr>
          <w:rFonts w:ascii="Arial" w:hAnsi="Arial" w:cs="Arial"/>
          <w:sz w:val="20"/>
          <w:szCs w:val="20"/>
        </w:rPr>
        <w:t xml:space="preserve"> (2)</w:t>
      </w:r>
      <w:r w:rsidR="00A91BA4" w:rsidRPr="00A91BA4">
        <w:rPr>
          <w:rFonts w:ascii="Arial" w:hAnsi="Arial" w:cs="Arial"/>
          <w:sz w:val="20"/>
          <w:szCs w:val="20"/>
        </w:rPr>
        <w:t xml:space="preserve">. </w:t>
      </w:r>
      <w:r w:rsidR="00540F8E">
        <w:rPr>
          <w:rFonts w:ascii="Arial" w:hAnsi="Arial" w:cs="Arial"/>
          <w:sz w:val="20"/>
          <w:szCs w:val="20"/>
        </w:rPr>
        <w:t>The samples were</w:t>
      </w:r>
      <w:r w:rsidR="00A91BA4" w:rsidRPr="00A91BA4">
        <w:rPr>
          <w:rFonts w:ascii="Arial" w:hAnsi="Arial" w:cs="Arial"/>
          <w:sz w:val="20"/>
          <w:szCs w:val="20"/>
        </w:rPr>
        <w:t xml:space="preserve"> run on the 1.5mm probe at the AMRIS facility at UF operating at 14.1T optimized for </w:t>
      </w:r>
      <w:r w:rsidR="00A91BA4" w:rsidRPr="00A91BA4">
        <w:rPr>
          <w:rFonts w:ascii="Arial" w:hAnsi="Arial" w:cs="Arial"/>
          <w:sz w:val="20"/>
          <w:szCs w:val="20"/>
          <w:vertAlign w:val="superscript"/>
        </w:rPr>
        <w:t>13</w:t>
      </w:r>
      <w:r w:rsidR="00A91BA4" w:rsidRPr="00A91BA4">
        <w:rPr>
          <w:rFonts w:ascii="Arial" w:hAnsi="Arial" w:cs="Arial"/>
          <w:sz w:val="20"/>
          <w:szCs w:val="20"/>
        </w:rPr>
        <w:t>C detection</w:t>
      </w:r>
      <w:r w:rsidR="00A008CB">
        <w:rPr>
          <w:rFonts w:ascii="Arial" w:hAnsi="Arial" w:cs="Arial"/>
          <w:sz w:val="20"/>
          <w:szCs w:val="20"/>
        </w:rPr>
        <w:t xml:space="preserve"> (3)</w:t>
      </w:r>
      <w:r w:rsidR="00A91BA4" w:rsidRPr="00A91BA4">
        <w:rPr>
          <w:rFonts w:ascii="Arial" w:hAnsi="Arial" w:cs="Arial"/>
          <w:sz w:val="20"/>
          <w:szCs w:val="20"/>
        </w:rPr>
        <w:t xml:space="preserve">. The </w:t>
      </w:r>
      <w:proofErr w:type="spellStart"/>
      <w:r w:rsidR="00A91BA4" w:rsidRPr="00A91BA4">
        <w:rPr>
          <w:rFonts w:ascii="Arial" w:hAnsi="Arial" w:cs="Arial"/>
          <w:sz w:val="20"/>
          <w:szCs w:val="20"/>
        </w:rPr>
        <w:t>isotpomer</w:t>
      </w:r>
      <w:proofErr w:type="spellEnd"/>
      <w:r w:rsidR="00A91BA4" w:rsidRPr="00A91BA4">
        <w:rPr>
          <w:rFonts w:ascii="Arial" w:hAnsi="Arial" w:cs="Arial"/>
          <w:sz w:val="20"/>
          <w:szCs w:val="20"/>
        </w:rPr>
        <w:t xml:space="preserve"> analysis of the multiples arising from </w:t>
      </w:r>
      <w:r w:rsidR="00A91BA4" w:rsidRPr="00A91BA4">
        <w:rPr>
          <w:rFonts w:ascii="Arial" w:hAnsi="Arial" w:cs="Arial"/>
          <w:sz w:val="20"/>
          <w:szCs w:val="20"/>
          <w:vertAlign w:val="superscript"/>
        </w:rPr>
        <w:t>13</w:t>
      </w:r>
      <w:r w:rsidR="00A91BA4" w:rsidRPr="00A91BA4">
        <w:rPr>
          <w:rFonts w:ascii="Arial" w:hAnsi="Arial" w:cs="Arial"/>
          <w:sz w:val="20"/>
          <w:szCs w:val="20"/>
        </w:rPr>
        <w:t>C labeling of carbon-2 of glucose will be used to determine direct functional activity of multiple nutrient pathways</w:t>
      </w:r>
      <w:r w:rsidR="00A008CB">
        <w:rPr>
          <w:rFonts w:ascii="Arial" w:hAnsi="Arial" w:cs="Arial"/>
          <w:sz w:val="20"/>
          <w:szCs w:val="20"/>
        </w:rPr>
        <w:t xml:space="preserve"> (2)</w:t>
      </w:r>
      <w:r w:rsidR="00A91BA4" w:rsidRPr="00A91BA4">
        <w:rPr>
          <w:rFonts w:ascii="Arial" w:hAnsi="Arial" w:cs="Arial"/>
          <w:sz w:val="20"/>
          <w:szCs w:val="20"/>
        </w:rPr>
        <w:t xml:space="preserve"> including a) </w:t>
      </w:r>
      <w:proofErr w:type="spellStart"/>
      <w:r w:rsidR="00A91BA4" w:rsidRPr="00A91BA4">
        <w:rPr>
          <w:rFonts w:ascii="Arial" w:hAnsi="Arial" w:cs="Arial"/>
          <w:sz w:val="20"/>
          <w:szCs w:val="20"/>
        </w:rPr>
        <w:t>gluconeogenic</w:t>
      </w:r>
      <w:proofErr w:type="spellEnd"/>
      <w:r w:rsidR="00A91BA4" w:rsidRPr="00A91BA4">
        <w:rPr>
          <w:rFonts w:ascii="Arial" w:hAnsi="Arial" w:cs="Arial"/>
          <w:sz w:val="20"/>
          <w:szCs w:val="20"/>
        </w:rPr>
        <w:t xml:space="preserve"> flux through TCA cycle, b) mitochondrial </w:t>
      </w:r>
      <w:proofErr w:type="spellStart"/>
      <w:r w:rsidR="00A91BA4" w:rsidRPr="00A91BA4">
        <w:rPr>
          <w:rFonts w:ascii="Arial" w:hAnsi="Arial" w:cs="Arial"/>
          <w:sz w:val="20"/>
          <w:szCs w:val="20"/>
        </w:rPr>
        <w:t>anaplerotic</w:t>
      </w:r>
      <w:proofErr w:type="spellEnd"/>
      <w:r w:rsidR="00A91BA4" w:rsidRPr="00A91BA4">
        <w:rPr>
          <w:rFonts w:ascii="Arial" w:hAnsi="Arial" w:cs="Arial"/>
          <w:sz w:val="20"/>
          <w:szCs w:val="20"/>
        </w:rPr>
        <w:t xml:space="preserve"> flux which drives gluconeogenesis, c) pyruvate cycling. </w:t>
      </w:r>
    </w:p>
    <w:p w14:paraId="5A0898A8" w14:textId="69169E20" w:rsidR="007E3C28" w:rsidRPr="00510882"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03F0C8F6" w14:textId="7A8DB8C0" w:rsidR="00AB7B11" w:rsidRDefault="007E3C28" w:rsidP="00273F55">
      <w:pPr>
        <w:ind w:firstLine="360"/>
        <w:rPr>
          <w:rFonts w:ascii="Arial" w:hAnsi="Arial" w:cs="Arial"/>
          <w:sz w:val="20"/>
          <w:szCs w:val="20"/>
        </w:rPr>
      </w:pPr>
      <w:r w:rsidRPr="007E3C28">
        <w:rPr>
          <w:rFonts w:ascii="Arial" w:hAnsi="Arial" w:cs="Arial"/>
          <w:sz w:val="20"/>
          <w:szCs w:val="20"/>
        </w:rPr>
        <w:t xml:space="preserve">As elaborated above 13C-NMR based </w:t>
      </w:r>
      <w:proofErr w:type="spellStart"/>
      <w:r w:rsidRPr="007E3C28">
        <w:rPr>
          <w:rFonts w:ascii="Arial" w:hAnsi="Arial" w:cs="Arial"/>
          <w:sz w:val="20"/>
          <w:szCs w:val="20"/>
        </w:rPr>
        <w:t>isotopomer</w:t>
      </w:r>
      <w:proofErr w:type="spellEnd"/>
      <w:r w:rsidRPr="007E3C28">
        <w:rPr>
          <w:rFonts w:ascii="Arial" w:hAnsi="Arial" w:cs="Arial"/>
          <w:sz w:val="20"/>
          <w:szCs w:val="20"/>
        </w:rPr>
        <w:t xml:space="preserve"> analysis allowed us to determine the activity of multiple pathways through the hepatic mitochondrial TCA cycle, during the transition from simple steatosis to NASH.  In spite of hepatic insulin resistance, EGP (Fig.</w:t>
      </w:r>
      <w:r>
        <w:rPr>
          <w:rFonts w:ascii="Arial" w:hAnsi="Arial" w:cs="Arial"/>
          <w:sz w:val="20"/>
          <w:szCs w:val="20"/>
        </w:rPr>
        <w:t xml:space="preserve"> 1</w:t>
      </w:r>
      <w:r w:rsidRPr="007E3C28">
        <w:rPr>
          <w:rFonts w:ascii="Arial" w:hAnsi="Arial" w:cs="Arial"/>
          <w:sz w:val="20"/>
          <w:szCs w:val="20"/>
        </w:rPr>
        <w:t>A), absolute TCA cycle flux (Fig.</w:t>
      </w:r>
      <w:r>
        <w:rPr>
          <w:rFonts w:ascii="Arial" w:hAnsi="Arial" w:cs="Arial"/>
          <w:sz w:val="20"/>
          <w:szCs w:val="20"/>
        </w:rPr>
        <w:t xml:space="preserve"> 1</w:t>
      </w:r>
      <w:r w:rsidRPr="007E3C28">
        <w:rPr>
          <w:rFonts w:ascii="Arial" w:hAnsi="Arial" w:cs="Arial"/>
          <w:sz w:val="20"/>
          <w:szCs w:val="20"/>
        </w:rPr>
        <w:t xml:space="preserve">B), total </w:t>
      </w:r>
      <w:proofErr w:type="spellStart"/>
      <w:r w:rsidRPr="007E3C28">
        <w:rPr>
          <w:rFonts w:ascii="Arial" w:hAnsi="Arial" w:cs="Arial"/>
          <w:sz w:val="20"/>
          <w:szCs w:val="20"/>
        </w:rPr>
        <w:t>anaplerosis</w:t>
      </w:r>
      <w:proofErr w:type="spellEnd"/>
      <w:r w:rsidRPr="007E3C28">
        <w:rPr>
          <w:rFonts w:ascii="Arial" w:hAnsi="Arial" w:cs="Arial"/>
          <w:sz w:val="20"/>
          <w:szCs w:val="20"/>
        </w:rPr>
        <w:t xml:space="preserve"> (Fig.</w:t>
      </w:r>
      <w:r>
        <w:rPr>
          <w:rFonts w:ascii="Arial" w:hAnsi="Arial" w:cs="Arial"/>
          <w:sz w:val="20"/>
          <w:szCs w:val="20"/>
        </w:rPr>
        <w:t xml:space="preserve"> 1</w:t>
      </w:r>
      <w:r w:rsidRPr="007E3C28">
        <w:rPr>
          <w:rFonts w:ascii="Arial" w:hAnsi="Arial" w:cs="Arial"/>
          <w:sz w:val="20"/>
          <w:szCs w:val="20"/>
        </w:rPr>
        <w:t>C), and pyruvate cycling (Fig.</w:t>
      </w:r>
      <w:r>
        <w:rPr>
          <w:rFonts w:ascii="Arial" w:hAnsi="Arial" w:cs="Arial"/>
          <w:sz w:val="20"/>
          <w:szCs w:val="20"/>
        </w:rPr>
        <w:t xml:space="preserve"> 1</w:t>
      </w:r>
      <w:r w:rsidRPr="007E3C28">
        <w:rPr>
          <w:rFonts w:ascii="Arial" w:hAnsi="Arial" w:cs="Arial"/>
          <w:sz w:val="20"/>
          <w:szCs w:val="20"/>
        </w:rPr>
        <w:t>D), remained unchanged after 8 weeks of TFD. Thus during early stages of diet induced insulin resistance and simple steatosis, mitochondrial fluxes could remain apparently normal</w:t>
      </w:r>
      <w:r w:rsidR="00A008CB">
        <w:rPr>
          <w:rFonts w:ascii="Arial" w:hAnsi="Arial" w:cs="Arial"/>
          <w:sz w:val="20"/>
          <w:szCs w:val="20"/>
        </w:rPr>
        <w:t xml:space="preserve"> (2)</w:t>
      </w:r>
      <w:r w:rsidRPr="007E3C28">
        <w:rPr>
          <w:rFonts w:ascii="Arial" w:hAnsi="Arial" w:cs="Arial"/>
          <w:sz w:val="20"/>
          <w:szCs w:val="20"/>
        </w:rPr>
        <w:t>. We then tested the hypothesis that onset of NASH will impair mitochondrial fluxes through the TCA cycle.  As expected, onset of NASH was accompanied by higher rates of EGP (Fig.</w:t>
      </w:r>
      <w:r>
        <w:rPr>
          <w:rFonts w:ascii="Arial" w:hAnsi="Arial" w:cs="Arial"/>
          <w:sz w:val="20"/>
          <w:szCs w:val="20"/>
        </w:rPr>
        <w:t xml:space="preserve"> 1</w:t>
      </w:r>
      <w:r w:rsidRPr="007E3C28">
        <w:rPr>
          <w:rFonts w:ascii="Arial" w:hAnsi="Arial" w:cs="Arial"/>
          <w:sz w:val="20"/>
          <w:szCs w:val="20"/>
        </w:rPr>
        <w:t>A). Interestingly, mitochondrial TCA cycle metabolism was upregulated in mice with NASH.  There was an approximate 2-fold induction in absolute TCA cycle flux (Fig.</w:t>
      </w:r>
      <w:r>
        <w:rPr>
          <w:rFonts w:ascii="Arial" w:hAnsi="Arial" w:cs="Arial"/>
          <w:sz w:val="20"/>
          <w:szCs w:val="20"/>
        </w:rPr>
        <w:t xml:space="preserve"> 1</w:t>
      </w:r>
      <w:r w:rsidRPr="007E3C28">
        <w:rPr>
          <w:rFonts w:ascii="Arial" w:hAnsi="Arial" w:cs="Arial"/>
          <w:sz w:val="20"/>
          <w:szCs w:val="20"/>
        </w:rPr>
        <w:t xml:space="preserve">B), total </w:t>
      </w:r>
      <w:proofErr w:type="spellStart"/>
      <w:r w:rsidRPr="007E3C28">
        <w:rPr>
          <w:rFonts w:ascii="Arial" w:hAnsi="Arial" w:cs="Arial"/>
          <w:sz w:val="20"/>
          <w:szCs w:val="20"/>
        </w:rPr>
        <w:t>anaplerosis</w:t>
      </w:r>
      <w:proofErr w:type="spellEnd"/>
      <w:r w:rsidRPr="007E3C28">
        <w:rPr>
          <w:rFonts w:ascii="Arial" w:hAnsi="Arial" w:cs="Arial"/>
          <w:sz w:val="20"/>
          <w:szCs w:val="20"/>
        </w:rPr>
        <w:t xml:space="preserve"> (Fig.</w:t>
      </w:r>
      <w:r>
        <w:rPr>
          <w:rFonts w:ascii="Arial" w:hAnsi="Arial" w:cs="Arial"/>
          <w:sz w:val="20"/>
          <w:szCs w:val="20"/>
        </w:rPr>
        <w:t xml:space="preserve"> 1</w:t>
      </w:r>
      <w:r w:rsidRPr="007E3C28">
        <w:rPr>
          <w:rFonts w:ascii="Arial" w:hAnsi="Arial" w:cs="Arial"/>
          <w:sz w:val="20"/>
          <w:szCs w:val="20"/>
        </w:rPr>
        <w:t>C), and pyruvate cycling (Fig.</w:t>
      </w:r>
      <w:r>
        <w:rPr>
          <w:rFonts w:ascii="Arial" w:hAnsi="Arial" w:cs="Arial"/>
          <w:sz w:val="20"/>
          <w:szCs w:val="20"/>
        </w:rPr>
        <w:t xml:space="preserve"> 1</w:t>
      </w:r>
      <w:r w:rsidRPr="007E3C28">
        <w:rPr>
          <w:rFonts w:ascii="Arial" w:hAnsi="Arial" w:cs="Arial"/>
          <w:sz w:val="20"/>
          <w:szCs w:val="20"/>
        </w:rPr>
        <w:t xml:space="preserve">D) in mice with NASH, relative to their age matched controls. Furthermore, a robust correlation between TCA cycle flux and </w:t>
      </w:r>
      <w:proofErr w:type="spellStart"/>
      <w:r w:rsidRPr="007E3C28">
        <w:rPr>
          <w:rFonts w:ascii="Arial" w:hAnsi="Arial" w:cs="Arial"/>
          <w:sz w:val="20"/>
          <w:szCs w:val="20"/>
        </w:rPr>
        <w:t>anaplerosis</w:t>
      </w:r>
      <w:proofErr w:type="spellEnd"/>
      <w:r w:rsidRPr="007E3C28">
        <w:rPr>
          <w:rFonts w:ascii="Arial" w:hAnsi="Arial" w:cs="Arial"/>
          <w:sz w:val="20"/>
          <w:szCs w:val="20"/>
        </w:rPr>
        <w:t xml:space="preserve"> was evident, indicating the dependence of anabolic pathways of glucose production on TCA cycle flux (</w:t>
      </w:r>
      <w:r>
        <w:rPr>
          <w:rFonts w:ascii="Arial" w:hAnsi="Arial" w:cs="Arial"/>
          <w:sz w:val="20"/>
          <w:szCs w:val="20"/>
        </w:rPr>
        <w:t>Fig. 1</w:t>
      </w:r>
      <w:r w:rsidRPr="007E3C28">
        <w:rPr>
          <w:rFonts w:ascii="Arial" w:hAnsi="Arial" w:cs="Arial"/>
          <w:sz w:val="20"/>
          <w:szCs w:val="20"/>
        </w:rPr>
        <w:t xml:space="preserve">E).  </w:t>
      </w:r>
    </w:p>
    <w:p w14:paraId="19C8A178" w14:textId="60C988F4" w:rsidR="00E25473" w:rsidRPr="006B3824" w:rsidRDefault="00E25473" w:rsidP="000F219F">
      <w:pPr>
        <w:tabs>
          <w:tab w:val="left" w:pos="360"/>
        </w:tabs>
        <w:rPr>
          <w:rFonts w:ascii="Arial" w:hAnsi="Arial" w:cs="Arial"/>
          <w:sz w:val="20"/>
          <w:szCs w:val="20"/>
        </w:rPr>
      </w:pPr>
      <w:r w:rsidRPr="006B3824">
        <w:rPr>
          <w:rFonts w:ascii="Arial" w:hAnsi="Arial" w:cs="Arial"/>
          <w:b/>
          <w:sz w:val="20"/>
          <w:szCs w:val="20"/>
        </w:rPr>
        <w:t>Conclusions</w:t>
      </w:r>
    </w:p>
    <w:p w14:paraId="19C8A17A" w14:textId="4E46708F" w:rsidR="00734E94" w:rsidRPr="006B3824" w:rsidRDefault="000F0366" w:rsidP="00273F55">
      <w:pPr>
        <w:ind w:firstLine="360"/>
        <w:rPr>
          <w:rFonts w:ascii="Arial" w:hAnsi="Arial" w:cs="Arial"/>
          <w:sz w:val="20"/>
          <w:szCs w:val="20"/>
        </w:rPr>
      </w:pPr>
      <w:r w:rsidRPr="000F0366">
        <w:rPr>
          <w:rFonts w:ascii="Arial" w:hAnsi="Arial" w:cs="Arial"/>
          <w:sz w:val="20"/>
          <w:szCs w:val="20"/>
        </w:rPr>
        <w:t xml:space="preserve">Induction of the TCA cycle activity during NASH was concurrent with blunted </w:t>
      </w:r>
      <w:proofErr w:type="spellStart"/>
      <w:r w:rsidRPr="000F0366">
        <w:rPr>
          <w:rFonts w:ascii="Arial" w:hAnsi="Arial" w:cs="Arial"/>
          <w:sz w:val="20"/>
          <w:szCs w:val="20"/>
        </w:rPr>
        <w:t>ketogenesis</w:t>
      </w:r>
      <w:proofErr w:type="spellEnd"/>
      <w:r w:rsidRPr="000F0366">
        <w:rPr>
          <w:rFonts w:ascii="Arial" w:hAnsi="Arial" w:cs="Arial"/>
          <w:sz w:val="20"/>
          <w:szCs w:val="20"/>
        </w:rPr>
        <w:t>, and accumulation of hepatic diacylglycerols (DAGs), ceramides (</w:t>
      </w:r>
      <w:proofErr w:type="spellStart"/>
      <w:r w:rsidRPr="000F0366">
        <w:rPr>
          <w:rFonts w:ascii="Arial" w:hAnsi="Arial" w:cs="Arial"/>
          <w:sz w:val="20"/>
          <w:szCs w:val="20"/>
        </w:rPr>
        <w:t>Cer</w:t>
      </w:r>
      <w:proofErr w:type="spellEnd"/>
      <w:r w:rsidRPr="000F0366">
        <w:rPr>
          <w:rFonts w:ascii="Arial" w:hAnsi="Arial" w:cs="Arial"/>
          <w:sz w:val="20"/>
          <w:szCs w:val="20"/>
        </w:rPr>
        <w:t xml:space="preserve">) and long chain </w:t>
      </w:r>
      <w:proofErr w:type="spellStart"/>
      <w:r w:rsidRPr="000F0366">
        <w:rPr>
          <w:rFonts w:ascii="Arial" w:hAnsi="Arial" w:cs="Arial"/>
          <w:sz w:val="20"/>
          <w:szCs w:val="20"/>
        </w:rPr>
        <w:t>acylcarnitines</w:t>
      </w:r>
      <w:proofErr w:type="spellEnd"/>
      <w:r w:rsidRPr="000F0366">
        <w:rPr>
          <w:rFonts w:ascii="Arial" w:hAnsi="Arial" w:cs="Arial"/>
          <w:sz w:val="20"/>
          <w:szCs w:val="20"/>
        </w:rPr>
        <w:t xml:space="preserve"> suggesting inefficient oxidation and disposal of excess free fatty acids (FFA). Sustained induction of mitochondrial TCA cycle failed to prevent accretion of “</w:t>
      </w:r>
      <w:proofErr w:type="spellStart"/>
      <w:r w:rsidRPr="000F0366">
        <w:rPr>
          <w:rFonts w:ascii="Arial" w:hAnsi="Arial" w:cs="Arial"/>
          <w:sz w:val="20"/>
          <w:szCs w:val="20"/>
        </w:rPr>
        <w:t>lipotoxic</w:t>
      </w:r>
      <w:proofErr w:type="spellEnd"/>
      <w:r w:rsidRPr="000F0366">
        <w:rPr>
          <w:rFonts w:ascii="Arial" w:hAnsi="Arial" w:cs="Arial"/>
          <w:sz w:val="20"/>
          <w:szCs w:val="20"/>
        </w:rPr>
        <w:t>” metabolites in the liver, and could hasten inflammation and the metabolic transition to NASH.</w:t>
      </w:r>
    </w:p>
    <w:p w14:paraId="19C8A17B"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19C8A17E" w14:textId="15D5D326" w:rsidR="00E25473" w:rsidRPr="00CC5A80" w:rsidRDefault="00FB4399" w:rsidP="00273F55">
      <w:pPr>
        <w:autoSpaceDE w:val="0"/>
        <w:autoSpaceDN w:val="0"/>
        <w:adjustRightInd w:val="0"/>
        <w:ind w:firstLine="360"/>
        <w:rPr>
          <w:rFonts w:ascii="Arial" w:hAnsi="Arial" w:cs="Arial"/>
          <w:sz w:val="20"/>
          <w:szCs w:val="20"/>
          <w:lang w:eastAsia="en-US"/>
        </w:rPr>
      </w:pP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 xml:space="preserve">tive Agreement No. </w:t>
      </w:r>
      <w:proofErr w:type="gramStart"/>
      <w:r w:rsidR="003A1FF5">
        <w:rPr>
          <w:rFonts w:ascii="Arial" w:eastAsia="Times New Roman" w:hAnsi="Arial" w:cs="Arial"/>
          <w:sz w:val="20"/>
          <w:szCs w:val="20"/>
          <w:lang w:eastAsia="en-US"/>
        </w:rPr>
        <w:t xml:space="preserve">DMR-1157490,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 xml:space="preserve">e of Florida, </w:t>
      </w:r>
      <w:r w:rsidRPr="00334CEB">
        <w:rPr>
          <w:rFonts w:ascii="Arial" w:eastAsia="Times New Roman" w:hAnsi="Arial" w:cs="Arial"/>
          <w:sz w:val="20"/>
          <w:szCs w:val="20"/>
          <w:lang w:eastAsia="en-US"/>
        </w:rPr>
        <w:t>an</w:t>
      </w:r>
      <w:r w:rsidR="00491C5D">
        <w:rPr>
          <w:rFonts w:ascii="Arial" w:eastAsia="Times New Roman" w:hAnsi="Arial" w:cs="Arial"/>
          <w:sz w:val="20"/>
          <w:szCs w:val="20"/>
          <w:lang w:eastAsia="en-US"/>
        </w:rPr>
        <w:t>d the U.S. Department of Energy.</w:t>
      </w:r>
      <w:proofErr w:type="gramEnd"/>
      <w:r w:rsidR="00491C5D">
        <w:rPr>
          <w:rFonts w:ascii="Arial" w:eastAsia="Times New Roman" w:hAnsi="Arial" w:cs="Arial"/>
          <w:sz w:val="20"/>
          <w:szCs w:val="20"/>
          <w:lang w:eastAsia="en-US"/>
        </w:rPr>
        <w:t xml:space="preserve"> </w:t>
      </w:r>
      <w:r w:rsidR="00CC5A80">
        <w:rPr>
          <w:rFonts w:ascii="Arial" w:eastAsia="Times New Roman" w:hAnsi="Arial" w:cs="Arial"/>
          <w:sz w:val="20"/>
          <w:szCs w:val="20"/>
          <w:lang w:eastAsia="en-US"/>
        </w:rPr>
        <w:t xml:space="preserve">This work was also funded by the </w:t>
      </w:r>
      <w:r w:rsidR="00CC5A80" w:rsidRPr="00CC5A80">
        <w:rPr>
          <w:rFonts w:ascii="Arial" w:hAnsi="Arial" w:cs="Arial"/>
          <w:sz w:val="20"/>
          <w:szCs w:val="20"/>
          <w:lang w:eastAsia="en-US"/>
        </w:rPr>
        <w:t>2013 Research Opportunity Seed Fund Award, University of Florida. 2013 -2015</w:t>
      </w:r>
      <w:r w:rsidR="00CC5A80">
        <w:rPr>
          <w:rFonts w:ascii="Arial" w:hAnsi="Arial" w:cs="Arial"/>
          <w:sz w:val="20"/>
          <w:szCs w:val="20"/>
          <w:lang w:eastAsia="en-US"/>
        </w:rPr>
        <w:t xml:space="preserve">. </w:t>
      </w:r>
      <w:r w:rsidR="00CC5A80" w:rsidRPr="00CC5A80">
        <w:rPr>
          <w:rFonts w:ascii="Arial" w:hAnsi="Arial" w:cs="Arial"/>
          <w:sz w:val="20"/>
          <w:szCs w:val="20"/>
          <w:lang w:eastAsia="en-US"/>
        </w:rPr>
        <w:t xml:space="preserve">Title: Mitochondrial Dysfunction in Nonalcoholic </w:t>
      </w:r>
      <w:proofErr w:type="spellStart"/>
      <w:r w:rsidR="00CC5A80" w:rsidRPr="00CC5A80">
        <w:rPr>
          <w:rFonts w:ascii="Arial" w:hAnsi="Arial" w:cs="Arial"/>
          <w:sz w:val="20"/>
          <w:szCs w:val="20"/>
          <w:lang w:eastAsia="en-US"/>
        </w:rPr>
        <w:t>Faty</w:t>
      </w:r>
      <w:proofErr w:type="spellEnd"/>
      <w:r w:rsidR="00CC5A80" w:rsidRPr="00CC5A80">
        <w:rPr>
          <w:rFonts w:ascii="Arial" w:hAnsi="Arial" w:cs="Arial"/>
          <w:sz w:val="20"/>
          <w:szCs w:val="20"/>
          <w:lang w:eastAsia="en-US"/>
        </w:rPr>
        <w:t xml:space="preserve"> Liver Disease (NAFLD): Mechanisms and Role of</w:t>
      </w:r>
      <w:r w:rsidR="00CC5A80">
        <w:rPr>
          <w:rFonts w:ascii="Arial" w:hAnsi="Arial" w:cs="Arial"/>
          <w:sz w:val="20"/>
          <w:szCs w:val="20"/>
          <w:lang w:eastAsia="en-US"/>
        </w:rPr>
        <w:t xml:space="preserve"> </w:t>
      </w:r>
      <w:r w:rsidR="00CC5A80" w:rsidRPr="00CC5A80">
        <w:rPr>
          <w:rFonts w:ascii="Arial" w:hAnsi="Arial" w:cs="Arial"/>
          <w:sz w:val="20"/>
          <w:szCs w:val="20"/>
          <w:lang w:eastAsia="en-US"/>
        </w:rPr>
        <w:t>Insulin Resistance and Oxidative Stress.</w:t>
      </w:r>
    </w:p>
    <w:p w14:paraId="19C8A17F" w14:textId="77777777" w:rsidR="00E25473"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0DD78582" w14:textId="28A793EA" w:rsidR="00A008CB" w:rsidRDefault="00A008CB" w:rsidP="0049187D">
      <w:pPr>
        <w:tabs>
          <w:tab w:val="left" w:pos="360"/>
        </w:tabs>
        <w:rPr>
          <w:rFonts w:ascii="Arial" w:hAnsi="Arial" w:cs="Arial"/>
          <w:noProof/>
          <w:sz w:val="20"/>
          <w:szCs w:val="20"/>
        </w:rPr>
      </w:pPr>
      <w:r w:rsidRPr="00A008CB">
        <w:rPr>
          <w:rFonts w:ascii="Arial" w:hAnsi="Arial" w:cs="Arial"/>
          <w:noProof/>
          <w:sz w:val="20"/>
          <w:szCs w:val="20"/>
        </w:rPr>
        <w:t>[1] Clapper, JR., et al., Am J Physiol Gastrointestinal and Liv Physiol 305: G483-495 (2013).</w:t>
      </w:r>
    </w:p>
    <w:p w14:paraId="6A3D8E7C" w14:textId="43E8B236" w:rsidR="00A008CB" w:rsidRPr="00A008CB" w:rsidRDefault="00A008CB" w:rsidP="00A008CB">
      <w:pPr>
        <w:rPr>
          <w:rFonts w:ascii="Arial" w:hAnsi="Arial" w:cs="Arial"/>
          <w:noProof/>
          <w:sz w:val="20"/>
          <w:szCs w:val="20"/>
        </w:rPr>
      </w:pPr>
      <w:r>
        <w:rPr>
          <w:rFonts w:ascii="Arial" w:hAnsi="Arial" w:cs="Arial"/>
          <w:noProof/>
          <w:sz w:val="20"/>
          <w:szCs w:val="20"/>
        </w:rPr>
        <w:t xml:space="preserve">[2] </w:t>
      </w:r>
      <w:r w:rsidRPr="00622024">
        <w:rPr>
          <w:rFonts w:ascii="Arial" w:hAnsi="Arial" w:cs="Arial"/>
          <w:noProof/>
          <w:sz w:val="20"/>
          <w:szCs w:val="20"/>
        </w:rPr>
        <w:t>Satapati</w:t>
      </w:r>
      <w:r>
        <w:rPr>
          <w:rFonts w:ascii="Arial" w:hAnsi="Arial" w:cs="Arial"/>
          <w:noProof/>
          <w:sz w:val="20"/>
          <w:szCs w:val="20"/>
        </w:rPr>
        <w:t>,</w:t>
      </w:r>
      <w:r w:rsidRPr="00622024">
        <w:rPr>
          <w:rFonts w:ascii="Arial" w:hAnsi="Arial" w:cs="Arial"/>
          <w:noProof/>
          <w:sz w:val="20"/>
          <w:szCs w:val="20"/>
        </w:rPr>
        <w:t xml:space="preserve"> S</w:t>
      </w:r>
      <w:r>
        <w:rPr>
          <w:rFonts w:ascii="Arial" w:hAnsi="Arial" w:cs="Arial"/>
          <w:noProof/>
          <w:sz w:val="20"/>
          <w:szCs w:val="20"/>
        </w:rPr>
        <w:t>.</w:t>
      </w:r>
      <w:r w:rsidRPr="00622024">
        <w:rPr>
          <w:rFonts w:ascii="Arial" w:hAnsi="Arial" w:cs="Arial"/>
          <w:noProof/>
          <w:sz w:val="20"/>
          <w:szCs w:val="20"/>
        </w:rPr>
        <w:t xml:space="preserve">, </w:t>
      </w:r>
      <w:r w:rsidRPr="00A008CB">
        <w:rPr>
          <w:rFonts w:ascii="Arial" w:hAnsi="Arial" w:cs="Arial"/>
          <w:noProof/>
          <w:sz w:val="20"/>
          <w:szCs w:val="20"/>
        </w:rPr>
        <w:t>et al</w:t>
      </w:r>
      <w:r>
        <w:rPr>
          <w:rFonts w:ascii="Arial" w:hAnsi="Arial" w:cs="Arial"/>
          <w:noProof/>
          <w:sz w:val="20"/>
          <w:szCs w:val="20"/>
        </w:rPr>
        <w:t xml:space="preserve">., </w:t>
      </w:r>
      <w:r w:rsidRPr="00622024">
        <w:rPr>
          <w:rFonts w:ascii="Arial" w:hAnsi="Arial" w:cs="Arial"/>
          <w:noProof/>
          <w:sz w:val="20"/>
          <w:szCs w:val="20"/>
        </w:rPr>
        <w:t xml:space="preserve">Journal of lipid research. </w:t>
      </w:r>
      <w:r w:rsidRPr="00A008CB">
        <w:rPr>
          <w:rFonts w:ascii="Arial" w:hAnsi="Arial" w:cs="Arial"/>
          <w:noProof/>
          <w:sz w:val="20"/>
          <w:szCs w:val="20"/>
        </w:rPr>
        <w:t>53</w:t>
      </w:r>
      <w:r>
        <w:rPr>
          <w:rFonts w:ascii="Arial" w:hAnsi="Arial" w:cs="Arial"/>
          <w:noProof/>
          <w:sz w:val="20"/>
          <w:szCs w:val="20"/>
        </w:rPr>
        <w:t xml:space="preserve">, </w:t>
      </w:r>
      <w:r w:rsidRPr="00622024">
        <w:rPr>
          <w:rFonts w:ascii="Arial" w:hAnsi="Arial" w:cs="Arial"/>
          <w:noProof/>
          <w:sz w:val="20"/>
          <w:szCs w:val="20"/>
        </w:rPr>
        <w:t>(6):1080-</w:t>
      </w:r>
      <w:r>
        <w:rPr>
          <w:rFonts w:ascii="Arial" w:hAnsi="Arial" w:cs="Arial"/>
          <w:noProof/>
          <w:sz w:val="20"/>
          <w:szCs w:val="20"/>
        </w:rPr>
        <w:t>10</w:t>
      </w:r>
      <w:r w:rsidRPr="00622024">
        <w:rPr>
          <w:rFonts w:ascii="Arial" w:hAnsi="Arial" w:cs="Arial"/>
          <w:noProof/>
          <w:sz w:val="20"/>
          <w:szCs w:val="20"/>
        </w:rPr>
        <w:t>92</w:t>
      </w:r>
      <w:r>
        <w:rPr>
          <w:rFonts w:ascii="Arial" w:hAnsi="Arial" w:cs="Arial"/>
          <w:noProof/>
          <w:sz w:val="20"/>
          <w:szCs w:val="20"/>
        </w:rPr>
        <w:t xml:space="preserve"> (</w:t>
      </w:r>
      <w:r w:rsidRPr="00622024">
        <w:rPr>
          <w:rFonts w:ascii="Arial" w:hAnsi="Arial" w:cs="Arial"/>
          <w:noProof/>
          <w:sz w:val="20"/>
          <w:szCs w:val="20"/>
        </w:rPr>
        <w:t>2012</w:t>
      </w:r>
      <w:r>
        <w:rPr>
          <w:rFonts w:ascii="Arial" w:hAnsi="Arial" w:cs="Arial"/>
          <w:noProof/>
          <w:sz w:val="20"/>
          <w:szCs w:val="20"/>
        </w:rPr>
        <w:t>)</w:t>
      </w:r>
      <w:r w:rsidRPr="00622024">
        <w:rPr>
          <w:rFonts w:ascii="Arial" w:hAnsi="Arial" w:cs="Arial"/>
          <w:noProof/>
          <w:sz w:val="20"/>
          <w:szCs w:val="20"/>
        </w:rPr>
        <w:t>.</w:t>
      </w:r>
    </w:p>
    <w:p w14:paraId="19C8A191" w14:textId="6E1ADDDD" w:rsidR="00F908F6" w:rsidRPr="006B3824" w:rsidRDefault="00A008CB" w:rsidP="00510882">
      <w:pPr>
        <w:rPr>
          <w:rFonts w:ascii="Arial" w:hAnsi="Arial" w:cs="Arial"/>
          <w:noProof/>
          <w:sz w:val="20"/>
          <w:szCs w:val="20"/>
        </w:rPr>
      </w:pPr>
      <w:r>
        <w:rPr>
          <w:rFonts w:ascii="Arial" w:hAnsi="Arial" w:cs="Arial"/>
          <w:noProof/>
          <w:sz w:val="20"/>
          <w:szCs w:val="20"/>
        </w:rPr>
        <w:t>[3</w:t>
      </w:r>
      <w:r w:rsidRPr="00A008CB">
        <w:rPr>
          <w:rFonts w:ascii="Arial" w:hAnsi="Arial" w:cs="Arial"/>
          <w:noProof/>
          <w:sz w:val="20"/>
          <w:szCs w:val="20"/>
        </w:rPr>
        <w:t>]</w:t>
      </w:r>
      <w:r>
        <w:rPr>
          <w:rFonts w:ascii="Arial" w:hAnsi="Arial" w:cs="Arial"/>
          <w:noProof/>
          <w:sz w:val="20"/>
          <w:szCs w:val="20"/>
        </w:rPr>
        <w:t xml:space="preserve"> Ramaswamy, V., </w:t>
      </w:r>
      <w:r w:rsidRPr="00A008CB">
        <w:rPr>
          <w:rFonts w:ascii="Arial" w:hAnsi="Arial" w:cs="Arial"/>
          <w:noProof/>
          <w:sz w:val="20"/>
          <w:szCs w:val="20"/>
        </w:rPr>
        <w:t>et al</w:t>
      </w:r>
      <w:r>
        <w:rPr>
          <w:rFonts w:ascii="Arial" w:hAnsi="Arial" w:cs="Arial"/>
          <w:noProof/>
          <w:sz w:val="20"/>
          <w:szCs w:val="20"/>
        </w:rPr>
        <w:t xml:space="preserve">., </w:t>
      </w:r>
      <w:r w:rsidRPr="00A008CB">
        <w:rPr>
          <w:rFonts w:ascii="Arial" w:hAnsi="Arial" w:cs="Arial"/>
          <w:noProof/>
          <w:sz w:val="20"/>
          <w:szCs w:val="20"/>
        </w:rPr>
        <w:t xml:space="preserve">Journal </w:t>
      </w:r>
      <w:bookmarkStart w:id="0" w:name="_GoBack"/>
      <w:bookmarkEnd w:id="0"/>
      <w:r w:rsidRPr="00A008CB">
        <w:rPr>
          <w:rFonts w:ascii="Arial" w:hAnsi="Arial" w:cs="Arial"/>
          <w:noProof/>
          <w:sz w:val="20"/>
          <w:szCs w:val="20"/>
        </w:rPr>
        <w:t>of magnetic resonance 235: 58-65 (2013</w:t>
      </w:r>
      <w:r w:rsidR="00510882">
        <w:rPr>
          <w:rFonts w:ascii="Arial" w:hAnsi="Arial" w:cs="Arial"/>
          <w:noProof/>
          <w:sz w:val="20"/>
          <w:szCs w:val="20"/>
        </w:rPr>
        <w:t>).</w:t>
      </w:r>
      <w:r w:rsidR="00C82DCA">
        <w:rPr>
          <w:rFonts w:ascii="Arial" w:hAnsi="Arial" w:cs="Arial"/>
          <w:sz w:val="20"/>
          <w:szCs w:val="20"/>
        </w:rPr>
        <w:fldChar w:fldCharType="begin"/>
      </w:r>
      <w:r w:rsidR="00C82DCA">
        <w:rPr>
          <w:rFonts w:ascii="Arial" w:hAnsi="Arial" w:cs="Arial"/>
          <w:sz w:val="20"/>
          <w:szCs w:val="20"/>
        </w:rPr>
        <w:instrText xml:space="preserve"> ADDIN EN.REFLIST </w:instrText>
      </w:r>
      <w:r w:rsidR="00C82DCA">
        <w:rPr>
          <w:rFonts w:ascii="Arial" w:hAnsi="Arial" w:cs="Arial"/>
          <w:sz w:val="20"/>
          <w:szCs w:val="20"/>
        </w:rPr>
        <w:fldChar w:fldCharType="end"/>
      </w:r>
    </w:p>
    <w:sectPr w:rsidR="00F908F6" w:rsidRPr="006B3824" w:rsidSect="00450C97">
      <w:headerReference w:type="default" r:id="rId11"/>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3DF3C" w14:textId="77777777" w:rsidR="00C95BBB" w:rsidRDefault="00C95BBB">
      <w:r>
        <w:separator/>
      </w:r>
    </w:p>
  </w:endnote>
  <w:endnote w:type="continuationSeparator" w:id="0">
    <w:p w14:paraId="77AB8170" w14:textId="77777777" w:rsidR="00C95BBB" w:rsidRDefault="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A544C" w14:textId="77777777" w:rsidR="00C95BBB" w:rsidRDefault="00C95BBB">
      <w:r>
        <w:separator/>
      </w:r>
    </w:p>
  </w:footnote>
  <w:footnote w:type="continuationSeparator" w:id="0">
    <w:p w14:paraId="4292A8F4" w14:textId="77777777" w:rsidR="00C95BBB" w:rsidRDefault="00C9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A19D" w14:textId="77777777" w:rsidR="00F974C6" w:rsidRDefault="00C83EAA"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19C8A1A2" wp14:editId="19C8A1A3">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8A1A8" w14:textId="37CF0AF0"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19C8A1A9" w14:textId="43F1DB84" w:rsidR="00F974C6" w:rsidRPr="00306550" w:rsidRDefault="00273F55" w:rsidP="001E6BF4">
                          <w:pPr>
                            <w:jc w:val="center"/>
                            <w:rPr>
                              <w:rFonts w:ascii="Arial" w:hAnsi="Arial" w:cs="Arial"/>
                              <w:b/>
                              <w:color w:val="17365D"/>
                              <w:sz w:val="22"/>
                              <w:szCs w:val="22"/>
                            </w:rPr>
                          </w:pPr>
                          <w:r>
                            <w:rPr>
                              <w:rFonts w:ascii="Arial" w:hAnsi="Arial" w:cs="Arial"/>
                              <w:b/>
                              <w:color w:val="17365D"/>
                              <w:sz w:val="22"/>
                              <w:szCs w:val="22"/>
                            </w:rPr>
                            <w:t>2015</w:t>
                          </w:r>
                          <w:r w:rsidR="001E6BF4"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14:paraId="19C8A1A8" w14:textId="37CF0AF0"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19C8A1A9" w14:textId="43F1DB84" w:rsidR="00F974C6" w:rsidRPr="00306550" w:rsidRDefault="00273F55" w:rsidP="001E6BF4">
                    <w:pPr>
                      <w:jc w:val="center"/>
                      <w:rPr>
                        <w:rFonts w:ascii="Arial" w:hAnsi="Arial" w:cs="Arial"/>
                        <w:b/>
                        <w:color w:val="17365D"/>
                        <w:sz w:val="22"/>
                        <w:szCs w:val="22"/>
                      </w:rPr>
                    </w:pPr>
                    <w:r>
                      <w:rPr>
                        <w:rFonts w:ascii="Arial" w:hAnsi="Arial" w:cs="Arial"/>
                        <w:b/>
                        <w:color w:val="17365D"/>
                        <w:sz w:val="22"/>
                        <w:szCs w:val="22"/>
                      </w:rPr>
                      <w:t>2015</w:t>
                    </w:r>
                    <w:r w:rsidR="001E6BF4" w:rsidRPr="00306550">
                      <w:rPr>
                        <w:rFonts w:ascii="Arial" w:hAnsi="Arial" w:cs="Arial"/>
                        <w:b/>
                        <w:color w:val="17365D"/>
                        <w:sz w:val="22"/>
                        <w:szCs w:val="22"/>
                      </w:rPr>
                      <w:t xml:space="preserve">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bCs/>
        <w:smallCaps/>
        <w:noProof/>
        <w:color w:val="1F497D"/>
        <w:spacing w:val="5"/>
        <w:sz w:val="22"/>
        <w:szCs w:val="22"/>
        <w:lang w:eastAsia="en-US"/>
      </w:rPr>
      <w:drawing>
        <wp:inline distT="0" distB="0" distL="0" distR="0" wp14:anchorId="19C8A1A4" wp14:editId="3721EF7B">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J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31C19"/>
    <w:rsid w:val="00020C55"/>
    <w:rsid w:val="000558AC"/>
    <w:rsid w:val="000736B9"/>
    <w:rsid w:val="000A1716"/>
    <w:rsid w:val="000A59A8"/>
    <w:rsid w:val="000B1363"/>
    <w:rsid w:val="000E1D4F"/>
    <w:rsid w:val="000F0366"/>
    <w:rsid w:val="000F219F"/>
    <w:rsid w:val="00104A4C"/>
    <w:rsid w:val="00113D92"/>
    <w:rsid w:val="00120180"/>
    <w:rsid w:val="0013653A"/>
    <w:rsid w:val="0014131B"/>
    <w:rsid w:val="00141FE9"/>
    <w:rsid w:val="00155AD2"/>
    <w:rsid w:val="00167606"/>
    <w:rsid w:val="0018419E"/>
    <w:rsid w:val="0018697C"/>
    <w:rsid w:val="00187023"/>
    <w:rsid w:val="001A2B22"/>
    <w:rsid w:val="001B3338"/>
    <w:rsid w:val="001D1CDD"/>
    <w:rsid w:val="001E526E"/>
    <w:rsid w:val="001E5ECF"/>
    <w:rsid w:val="001E6BF4"/>
    <w:rsid w:val="00231335"/>
    <w:rsid w:val="00233F11"/>
    <w:rsid w:val="00241739"/>
    <w:rsid w:val="002426D5"/>
    <w:rsid w:val="002524EE"/>
    <w:rsid w:val="00265A15"/>
    <w:rsid w:val="00273F55"/>
    <w:rsid w:val="00290223"/>
    <w:rsid w:val="002C7675"/>
    <w:rsid w:val="002E3FE1"/>
    <w:rsid w:val="00306550"/>
    <w:rsid w:val="003079E9"/>
    <w:rsid w:val="00312C04"/>
    <w:rsid w:val="00334CEB"/>
    <w:rsid w:val="003560D2"/>
    <w:rsid w:val="00363C8F"/>
    <w:rsid w:val="00376D2C"/>
    <w:rsid w:val="00393065"/>
    <w:rsid w:val="003A1FF5"/>
    <w:rsid w:val="003C6493"/>
    <w:rsid w:val="003E2F8E"/>
    <w:rsid w:val="003F55A7"/>
    <w:rsid w:val="003F6E7E"/>
    <w:rsid w:val="00410D2C"/>
    <w:rsid w:val="00413074"/>
    <w:rsid w:val="00420894"/>
    <w:rsid w:val="00450C97"/>
    <w:rsid w:val="0047601C"/>
    <w:rsid w:val="00486FF9"/>
    <w:rsid w:val="0049187D"/>
    <w:rsid w:val="00491C5D"/>
    <w:rsid w:val="004A227C"/>
    <w:rsid w:val="004F160B"/>
    <w:rsid w:val="00510882"/>
    <w:rsid w:val="00511F7E"/>
    <w:rsid w:val="005125E3"/>
    <w:rsid w:val="005173CE"/>
    <w:rsid w:val="0053142A"/>
    <w:rsid w:val="00540F8E"/>
    <w:rsid w:val="005452B9"/>
    <w:rsid w:val="00583BC3"/>
    <w:rsid w:val="005A1B84"/>
    <w:rsid w:val="005C4667"/>
    <w:rsid w:val="005C5648"/>
    <w:rsid w:val="00625028"/>
    <w:rsid w:val="00627F7D"/>
    <w:rsid w:val="006612DC"/>
    <w:rsid w:val="00672D41"/>
    <w:rsid w:val="00672D7E"/>
    <w:rsid w:val="00675757"/>
    <w:rsid w:val="006B3673"/>
    <w:rsid w:val="006B3824"/>
    <w:rsid w:val="006C672C"/>
    <w:rsid w:val="006D745E"/>
    <w:rsid w:val="006E2CE0"/>
    <w:rsid w:val="006E4A9F"/>
    <w:rsid w:val="007207FF"/>
    <w:rsid w:val="00731C19"/>
    <w:rsid w:val="00734E94"/>
    <w:rsid w:val="00764FB5"/>
    <w:rsid w:val="00774A49"/>
    <w:rsid w:val="007C0813"/>
    <w:rsid w:val="007D3105"/>
    <w:rsid w:val="007E2F28"/>
    <w:rsid w:val="007E3C28"/>
    <w:rsid w:val="007F0592"/>
    <w:rsid w:val="00862CB5"/>
    <w:rsid w:val="00883638"/>
    <w:rsid w:val="008B05B8"/>
    <w:rsid w:val="008C5788"/>
    <w:rsid w:val="008E5BC5"/>
    <w:rsid w:val="008E5C85"/>
    <w:rsid w:val="008F35CC"/>
    <w:rsid w:val="008F521A"/>
    <w:rsid w:val="009648AC"/>
    <w:rsid w:val="009A39F6"/>
    <w:rsid w:val="009A3F73"/>
    <w:rsid w:val="009B41B2"/>
    <w:rsid w:val="009C318D"/>
    <w:rsid w:val="009C3DF0"/>
    <w:rsid w:val="009C7F31"/>
    <w:rsid w:val="009D39A4"/>
    <w:rsid w:val="009E4F1E"/>
    <w:rsid w:val="00A008CB"/>
    <w:rsid w:val="00A1227A"/>
    <w:rsid w:val="00A55035"/>
    <w:rsid w:val="00A568CA"/>
    <w:rsid w:val="00A91BA4"/>
    <w:rsid w:val="00A94FC4"/>
    <w:rsid w:val="00AB7B11"/>
    <w:rsid w:val="00AC297F"/>
    <w:rsid w:val="00AC4AFE"/>
    <w:rsid w:val="00AE142B"/>
    <w:rsid w:val="00B00CDB"/>
    <w:rsid w:val="00B25D4D"/>
    <w:rsid w:val="00B45112"/>
    <w:rsid w:val="00B5585D"/>
    <w:rsid w:val="00B71405"/>
    <w:rsid w:val="00B75DC9"/>
    <w:rsid w:val="00B94321"/>
    <w:rsid w:val="00B95FCB"/>
    <w:rsid w:val="00B96080"/>
    <w:rsid w:val="00BA00BE"/>
    <w:rsid w:val="00BA7096"/>
    <w:rsid w:val="00BE2257"/>
    <w:rsid w:val="00C02989"/>
    <w:rsid w:val="00C076C7"/>
    <w:rsid w:val="00C13313"/>
    <w:rsid w:val="00C543DD"/>
    <w:rsid w:val="00C75A17"/>
    <w:rsid w:val="00C81666"/>
    <w:rsid w:val="00C82DCA"/>
    <w:rsid w:val="00C83434"/>
    <w:rsid w:val="00C83EAA"/>
    <w:rsid w:val="00C93F0D"/>
    <w:rsid w:val="00C95BBB"/>
    <w:rsid w:val="00CA6625"/>
    <w:rsid w:val="00CB0819"/>
    <w:rsid w:val="00CB1A7C"/>
    <w:rsid w:val="00CB4058"/>
    <w:rsid w:val="00CC5A80"/>
    <w:rsid w:val="00CC5B40"/>
    <w:rsid w:val="00CE3F90"/>
    <w:rsid w:val="00D01F6B"/>
    <w:rsid w:val="00D0313F"/>
    <w:rsid w:val="00D07879"/>
    <w:rsid w:val="00D1756D"/>
    <w:rsid w:val="00D37C67"/>
    <w:rsid w:val="00D65CBB"/>
    <w:rsid w:val="00D67B56"/>
    <w:rsid w:val="00D851F6"/>
    <w:rsid w:val="00D87CF1"/>
    <w:rsid w:val="00DA3E75"/>
    <w:rsid w:val="00DD44E5"/>
    <w:rsid w:val="00E04B24"/>
    <w:rsid w:val="00E07ED9"/>
    <w:rsid w:val="00E25473"/>
    <w:rsid w:val="00E411D1"/>
    <w:rsid w:val="00E43BB4"/>
    <w:rsid w:val="00E57E61"/>
    <w:rsid w:val="00EA1E33"/>
    <w:rsid w:val="00EB489A"/>
    <w:rsid w:val="00EB515D"/>
    <w:rsid w:val="00F23F2F"/>
    <w:rsid w:val="00F31351"/>
    <w:rsid w:val="00F31B06"/>
    <w:rsid w:val="00F43581"/>
    <w:rsid w:val="00F4530F"/>
    <w:rsid w:val="00F45B22"/>
    <w:rsid w:val="00F54466"/>
    <w:rsid w:val="00F8198A"/>
    <w:rsid w:val="00F908F6"/>
    <w:rsid w:val="00F95583"/>
    <w:rsid w:val="00F974C6"/>
    <w:rsid w:val="00FB4399"/>
    <w:rsid w:val="00FF1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19C8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styleId="Hyperlink">
    <w:name w:val="Hyperlink"/>
    <w:basedOn w:val="DefaultParagraphFont"/>
    <w:rsid w:val="00C82D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character" w:styleId="Hyperlink">
    <w:name w:val="Hyperlink"/>
    <w:basedOn w:val="DefaultParagraphFont"/>
    <w:rsid w:val="00C82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F5D4D-748B-4574-A706-3F69CB55225E}">
  <ds:schemaRefs>
    <ds:schemaRef ds:uri="http://schemas.microsoft.com/sharepoint/v3/contenttype/form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2</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2010-10-01T13:54:00Z</cp:lastPrinted>
  <dcterms:created xsi:type="dcterms:W3CDTF">2016-02-10T16:03:00Z</dcterms:created>
  <dcterms:modified xsi:type="dcterms:W3CDTF">2016-02-10T16:05:00Z</dcterms:modified>
</cp:coreProperties>
</file>