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10" w:rsidRDefault="00E95E10" w:rsidP="002F547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Antiparallel β-Sheet Structure w</w:t>
      </w:r>
      <w:r w:rsidR="00771371">
        <w:rPr>
          <w:rFonts w:ascii="Arial" w:hAnsi="Arial" w:cs="Arial"/>
          <w:b/>
        </w:rPr>
        <w:t xml:space="preserve">ithin Oligomers of </w:t>
      </w:r>
      <w:r w:rsidR="00D77F13">
        <w:rPr>
          <w:rFonts w:ascii="Arial" w:hAnsi="Arial" w:cs="Arial"/>
          <w:b/>
        </w:rPr>
        <w:t xml:space="preserve">the </w:t>
      </w:r>
    </w:p>
    <w:p w:rsidR="00771371" w:rsidRDefault="00D77F13" w:rsidP="002F5477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42-Residue </w:t>
      </w:r>
      <w:r w:rsidR="00771371">
        <w:rPr>
          <w:rFonts w:ascii="Arial" w:hAnsi="Arial" w:cs="Arial"/>
          <w:b/>
        </w:rPr>
        <w:t>Alzheimer’s β-Amyloid Peptide</w:t>
      </w:r>
    </w:p>
    <w:p w:rsidR="00771371" w:rsidRDefault="007713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1371" w:rsidRDefault="00E95E10" w:rsidP="003F5DB5">
      <w:pPr>
        <w:pStyle w:val="BBAuthorName"/>
        <w:spacing w:after="0" w:line="240" w:lineRule="auto"/>
        <w:jc w:val="lef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  <w:u w:val="single"/>
        </w:rPr>
        <w:t>Paravastu, A.K</w:t>
      </w:r>
      <w:r>
        <w:rPr>
          <w:rFonts w:ascii="Arial" w:hAnsi="Arial" w:cs="Arial"/>
          <w:i w:val="0"/>
          <w:sz w:val="20"/>
        </w:rPr>
        <w:t>.</w:t>
      </w:r>
      <w:r>
        <w:rPr>
          <w:rFonts w:ascii="Arial" w:hAnsi="Arial" w:cs="Arial"/>
          <w:i w:val="0"/>
          <w:sz w:val="20"/>
        </w:rPr>
        <w:t xml:space="preserve">; </w:t>
      </w:r>
      <w:r w:rsidR="00771371">
        <w:rPr>
          <w:rFonts w:ascii="Arial" w:hAnsi="Arial" w:cs="Arial"/>
          <w:i w:val="0"/>
          <w:sz w:val="20"/>
        </w:rPr>
        <w:t>Huang, D</w:t>
      </w:r>
      <w:r w:rsidR="00771371">
        <w:rPr>
          <w:rFonts w:ascii="Arial" w:hAnsi="Arial" w:cs="Arial"/>
          <w:sz w:val="20"/>
        </w:rPr>
        <w:t>.</w:t>
      </w:r>
      <w:r>
        <w:rPr>
          <w:rFonts w:ascii="Arial" w:hAnsi="Arial" w:cs="Arial"/>
          <w:i w:val="0"/>
          <w:sz w:val="20"/>
        </w:rPr>
        <w:t>;</w:t>
      </w:r>
      <w:r w:rsidR="003F5DB5">
        <w:rPr>
          <w:rFonts w:ascii="Arial" w:hAnsi="Arial" w:cs="Arial"/>
          <w:i w:val="0"/>
          <w:sz w:val="20"/>
        </w:rPr>
        <w:t xml:space="preserve"> Zimmerman, M.I.</w:t>
      </w:r>
      <w:r w:rsidR="00771371">
        <w:rPr>
          <w:rFonts w:ascii="Arial" w:hAnsi="Arial" w:cs="Arial"/>
          <w:i w:val="0"/>
          <w:sz w:val="20"/>
        </w:rPr>
        <w:t xml:space="preserve"> (F</w:t>
      </w:r>
      <w:r w:rsidR="003F5DB5">
        <w:rPr>
          <w:rFonts w:ascii="Arial" w:hAnsi="Arial" w:cs="Arial"/>
          <w:i w:val="0"/>
          <w:sz w:val="20"/>
        </w:rPr>
        <w:t xml:space="preserve">lorida </w:t>
      </w:r>
      <w:r w:rsidR="00771371">
        <w:rPr>
          <w:rFonts w:ascii="Arial" w:hAnsi="Arial" w:cs="Arial"/>
          <w:i w:val="0"/>
          <w:sz w:val="20"/>
        </w:rPr>
        <w:t>S</w:t>
      </w:r>
      <w:r w:rsidR="003F5DB5">
        <w:rPr>
          <w:rFonts w:ascii="Arial" w:hAnsi="Arial" w:cs="Arial"/>
          <w:i w:val="0"/>
          <w:sz w:val="20"/>
        </w:rPr>
        <w:t xml:space="preserve">tate </w:t>
      </w:r>
      <w:r w:rsidR="00771371">
        <w:rPr>
          <w:rFonts w:ascii="Arial" w:hAnsi="Arial" w:cs="Arial"/>
          <w:i w:val="0"/>
          <w:sz w:val="20"/>
        </w:rPr>
        <w:t>U</w:t>
      </w:r>
      <w:r w:rsidR="003F5DB5">
        <w:rPr>
          <w:rFonts w:ascii="Arial" w:hAnsi="Arial" w:cs="Arial"/>
          <w:i w:val="0"/>
          <w:sz w:val="20"/>
        </w:rPr>
        <w:t>.</w:t>
      </w:r>
      <w:r w:rsidR="00771371">
        <w:rPr>
          <w:rFonts w:ascii="Arial" w:hAnsi="Arial" w:cs="Arial"/>
          <w:i w:val="0"/>
          <w:sz w:val="20"/>
        </w:rPr>
        <w:t>, Chemical and Biomedical Engineering); Martin, P.K.</w:t>
      </w:r>
      <w:r>
        <w:rPr>
          <w:rFonts w:ascii="Arial" w:hAnsi="Arial" w:cs="Arial"/>
          <w:i w:val="0"/>
          <w:sz w:val="20"/>
        </w:rPr>
        <w:t>;</w:t>
      </w:r>
      <w:r w:rsidR="003F5DB5">
        <w:rPr>
          <w:rFonts w:ascii="Arial" w:hAnsi="Arial" w:cs="Arial"/>
          <w:i w:val="0"/>
          <w:sz w:val="20"/>
        </w:rPr>
        <w:t xml:space="preserve"> Nix, A.J.</w:t>
      </w:r>
      <w:r>
        <w:rPr>
          <w:rFonts w:ascii="Arial" w:hAnsi="Arial" w:cs="Arial"/>
          <w:i w:val="0"/>
          <w:sz w:val="20"/>
        </w:rPr>
        <w:t xml:space="preserve"> and</w:t>
      </w:r>
      <w:r w:rsidR="003F5DB5">
        <w:rPr>
          <w:rFonts w:ascii="Arial" w:hAnsi="Arial" w:cs="Arial"/>
          <w:i w:val="0"/>
          <w:sz w:val="20"/>
        </w:rPr>
        <w:t xml:space="preserve"> </w:t>
      </w:r>
      <w:proofErr w:type="spellStart"/>
      <w:r w:rsidR="003F5DB5">
        <w:rPr>
          <w:rFonts w:ascii="Arial" w:hAnsi="Arial" w:cs="Arial"/>
          <w:i w:val="0"/>
          <w:sz w:val="20"/>
        </w:rPr>
        <w:t>Rosenberry</w:t>
      </w:r>
      <w:proofErr w:type="spellEnd"/>
      <w:r w:rsidR="003F5DB5">
        <w:rPr>
          <w:rFonts w:ascii="Arial" w:hAnsi="Arial" w:cs="Arial"/>
          <w:i w:val="0"/>
          <w:sz w:val="20"/>
        </w:rPr>
        <w:t>, T.L.</w:t>
      </w:r>
      <w:r w:rsidR="00771371">
        <w:rPr>
          <w:rFonts w:ascii="Arial" w:hAnsi="Arial" w:cs="Arial"/>
          <w:i w:val="0"/>
          <w:sz w:val="20"/>
        </w:rPr>
        <w:t xml:space="preserve"> (Mayo Clinic</w:t>
      </w:r>
      <w:r w:rsidR="003F5DB5">
        <w:rPr>
          <w:rFonts w:ascii="Arial" w:hAnsi="Arial" w:cs="Arial"/>
          <w:i w:val="0"/>
          <w:sz w:val="20"/>
        </w:rPr>
        <w:t>, Neuroscience</w:t>
      </w:r>
      <w:r>
        <w:rPr>
          <w:rFonts w:ascii="Arial" w:hAnsi="Arial" w:cs="Arial"/>
          <w:i w:val="0"/>
          <w:sz w:val="20"/>
        </w:rPr>
        <w:t>)</w:t>
      </w:r>
    </w:p>
    <w:p w:rsidR="00771371" w:rsidRDefault="00771371">
      <w:pPr>
        <w:pBdr>
          <w:bottom w:val="single" w:sz="12" w:space="0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Introduction </w:t>
      </w:r>
    </w:p>
    <w:p w:rsidR="00771371" w:rsidRDefault="003F5DB5" w:rsidP="003F5D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371">
        <w:rPr>
          <w:rFonts w:ascii="Arial" w:hAnsi="Arial" w:cs="Arial"/>
          <w:sz w:val="20"/>
          <w:szCs w:val="20"/>
        </w:rPr>
        <w:t xml:space="preserve">Significant genetic, pathological and biochemical evidence links Alzheimer’s disease (AD) more closely to soluble aggregates (oligomers) of the β-amyloid peptide (Aβ) rather than more stable amyloid fibrils. </w:t>
      </w:r>
      <w:r w:rsidR="00D77F13">
        <w:rPr>
          <w:rFonts w:ascii="Arial" w:hAnsi="Arial" w:cs="Arial"/>
          <w:sz w:val="20"/>
          <w:szCs w:val="20"/>
        </w:rPr>
        <w:t xml:space="preserve">We recently reported that 150 </w:t>
      </w:r>
      <w:proofErr w:type="spellStart"/>
      <w:r w:rsidR="00D77F13">
        <w:rPr>
          <w:rFonts w:ascii="Arial" w:hAnsi="Arial" w:cs="Arial"/>
          <w:sz w:val="20"/>
          <w:szCs w:val="20"/>
        </w:rPr>
        <w:t>kDa</w:t>
      </w:r>
      <w:proofErr w:type="spellEnd"/>
      <w:r w:rsidR="00D77F13">
        <w:rPr>
          <w:rFonts w:ascii="Arial" w:hAnsi="Arial" w:cs="Arial"/>
          <w:sz w:val="20"/>
          <w:szCs w:val="20"/>
        </w:rPr>
        <w:t xml:space="preserve"> oligomers (composed of ~30 molecules) of the 42-residue variant Aβ is characterized by β-strand organization that is distinct from that of Aβ fibrils.</w:t>
      </w:r>
      <w:r w:rsidR="0085550B">
        <w:rPr>
          <w:rFonts w:ascii="Arial" w:hAnsi="Arial" w:cs="Arial"/>
          <w:sz w:val="20"/>
          <w:szCs w:val="20"/>
        </w:rPr>
        <w:fldChar w:fldCharType="begin"/>
      </w:r>
      <w:r w:rsidR="0085550B">
        <w:rPr>
          <w:rFonts w:ascii="Arial" w:hAnsi="Arial" w:cs="Arial"/>
          <w:sz w:val="20"/>
          <w:szCs w:val="20"/>
        </w:rPr>
        <w:instrText>ADDIN RW.CITE{{1100 Tay,W.M. 2013}}</w:instrText>
      </w:r>
      <w:r w:rsidR="0085550B">
        <w:rPr>
          <w:rFonts w:ascii="Arial" w:hAnsi="Arial" w:cs="Arial"/>
          <w:sz w:val="20"/>
          <w:szCs w:val="20"/>
        </w:rPr>
        <w:fldChar w:fldCharType="separate"/>
      </w:r>
      <w:r w:rsidR="0085550B">
        <w:rPr>
          <w:rFonts w:ascii="Arial" w:eastAsia="Times New Roman" w:hAnsi="Arial" w:cs="Arial"/>
          <w:sz w:val="20"/>
          <w:vertAlign w:val="superscript"/>
        </w:rPr>
        <w:t>1</w:t>
      </w:r>
      <w:r w:rsidR="0085550B">
        <w:rPr>
          <w:rFonts w:ascii="Arial" w:hAnsi="Arial" w:cs="Arial"/>
          <w:sz w:val="20"/>
          <w:szCs w:val="20"/>
        </w:rPr>
        <w:fldChar w:fldCharType="end"/>
      </w:r>
      <w:r w:rsidR="00D77F13">
        <w:rPr>
          <w:rFonts w:ascii="Arial" w:hAnsi="Arial" w:cs="Arial"/>
          <w:sz w:val="20"/>
          <w:szCs w:val="20"/>
        </w:rPr>
        <w:t xml:space="preserve">  These oligomers were produce</w:t>
      </w:r>
      <w:r w:rsidR="0085550B">
        <w:rPr>
          <w:rFonts w:ascii="Arial" w:hAnsi="Arial" w:cs="Arial"/>
          <w:sz w:val="20"/>
          <w:szCs w:val="20"/>
        </w:rPr>
        <w:t>d</w:t>
      </w:r>
      <w:r w:rsidR="00D77F13">
        <w:rPr>
          <w:rFonts w:ascii="Arial" w:hAnsi="Arial" w:cs="Arial"/>
          <w:sz w:val="20"/>
          <w:szCs w:val="20"/>
        </w:rPr>
        <w:t xml:space="preserve"> by the </w:t>
      </w:r>
      <w:proofErr w:type="spellStart"/>
      <w:r w:rsidR="00D77F13">
        <w:rPr>
          <w:rFonts w:ascii="Arial" w:hAnsi="Arial" w:cs="Arial"/>
          <w:sz w:val="20"/>
          <w:szCs w:val="20"/>
        </w:rPr>
        <w:t>Rosenberry</w:t>
      </w:r>
      <w:proofErr w:type="spellEnd"/>
      <w:r w:rsidR="00D77F13">
        <w:rPr>
          <w:rFonts w:ascii="Arial" w:hAnsi="Arial" w:cs="Arial"/>
          <w:sz w:val="20"/>
          <w:szCs w:val="20"/>
        </w:rPr>
        <w:t xml:space="preserve"> Laboratory.</w:t>
      </w:r>
      <w:r w:rsidR="00771371">
        <w:rPr>
          <w:rFonts w:ascii="Arial" w:hAnsi="Arial" w:cs="Arial"/>
          <w:sz w:val="20"/>
          <w:szCs w:val="20"/>
        </w:rPr>
        <w:t xml:space="preserve">  </w:t>
      </w:r>
      <w:r w:rsidR="00D77F13">
        <w:rPr>
          <w:rFonts w:ascii="Arial" w:hAnsi="Arial" w:cs="Arial"/>
          <w:sz w:val="20"/>
          <w:szCs w:val="20"/>
        </w:rPr>
        <w:t xml:space="preserve">The present work is aimed at determining the precise residues involved in the antiparallel β-sheet and comparing </w:t>
      </w:r>
      <w:r w:rsidR="0085550B">
        <w:rPr>
          <w:rFonts w:ascii="Arial" w:hAnsi="Arial" w:cs="Arial"/>
          <w:sz w:val="20"/>
          <w:szCs w:val="20"/>
        </w:rPr>
        <w:t xml:space="preserve">NMR structural constraints to proposed </w:t>
      </w:r>
      <w:r w:rsidR="00D77F13">
        <w:rPr>
          <w:rFonts w:ascii="Arial" w:hAnsi="Arial" w:cs="Arial"/>
          <w:sz w:val="20"/>
          <w:szCs w:val="20"/>
        </w:rPr>
        <w:t>oligomer</w:t>
      </w:r>
      <w:r w:rsidR="0085550B">
        <w:rPr>
          <w:rFonts w:ascii="Arial" w:hAnsi="Arial" w:cs="Arial"/>
          <w:sz w:val="20"/>
          <w:szCs w:val="20"/>
        </w:rPr>
        <w:t xml:space="preserve"> structural</w:t>
      </w:r>
      <w:r w:rsidR="00D77F13">
        <w:rPr>
          <w:rFonts w:ascii="Arial" w:hAnsi="Arial" w:cs="Arial"/>
          <w:sz w:val="20"/>
          <w:szCs w:val="20"/>
        </w:rPr>
        <w:t xml:space="preserve"> model</w:t>
      </w:r>
      <w:r w:rsidR="0085550B">
        <w:rPr>
          <w:rFonts w:ascii="Arial" w:hAnsi="Arial" w:cs="Arial"/>
          <w:sz w:val="20"/>
          <w:szCs w:val="20"/>
        </w:rPr>
        <w:t>s</w:t>
      </w:r>
      <w:r w:rsidR="00D77F13">
        <w:rPr>
          <w:rFonts w:ascii="Arial" w:hAnsi="Arial" w:cs="Arial"/>
          <w:sz w:val="20"/>
          <w:szCs w:val="20"/>
        </w:rPr>
        <w:t xml:space="preserve"> </w:t>
      </w:r>
      <w:r w:rsidR="0085550B">
        <w:rPr>
          <w:rFonts w:ascii="Arial" w:hAnsi="Arial" w:cs="Arial"/>
          <w:sz w:val="20"/>
          <w:szCs w:val="20"/>
        </w:rPr>
        <w:t>from</w:t>
      </w:r>
      <w:r w:rsidR="00D77F13">
        <w:rPr>
          <w:rFonts w:ascii="Arial" w:hAnsi="Arial" w:cs="Arial"/>
          <w:sz w:val="20"/>
          <w:szCs w:val="20"/>
        </w:rPr>
        <w:t xml:space="preserve"> the literature</w:t>
      </w:r>
      <w:r w:rsidR="00771371">
        <w:rPr>
          <w:rFonts w:ascii="Arial" w:hAnsi="Arial" w:cs="Arial"/>
          <w:sz w:val="20"/>
          <w:szCs w:val="20"/>
        </w:rPr>
        <w:t>.</w:t>
      </w:r>
    </w:p>
    <w:p w:rsidR="00771371" w:rsidRDefault="00771371">
      <w:pPr>
        <w:spacing w:line="200" w:lineRule="atLeast"/>
        <w:ind w:firstLine="360"/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spacing w:line="2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Experimental </w:t>
      </w:r>
    </w:p>
    <w:p w:rsidR="00771371" w:rsidRDefault="0085550B" w:rsidP="003F5DB5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performed</w:t>
      </w:r>
      <w:r w:rsidR="00D77F13">
        <w:rPr>
          <w:rFonts w:ascii="Arial" w:hAnsi="Arial" w:cs="Arial"/>
          <w:sz w:val="20"/>
          <w:szCs w:val="20"/>
        </w:rPr>
        <w:t xml:space="preserve"> solid state NMR measurements on </w:t>
      </w:r>
      <w:r w:rsidRPr="0085550B">
        <w:rPr>
          <w:rFonts w:ascii="Arial" w:hAnsi="Arial" w:cs="Arial"/>
          <w:sz w:val="20"/>
          <w:szCs w:val="20"/>
          <w:vertAlign w:val="superscript"/>
        </w:rPr>
        <w:t>13</w:t>
      </w:r>
      <w:r>
        <w:rPr>
          <w:rFonts w:ascii="Arial" w:hAnsi="Arial" w:cs="Arial"/>
          <w:sz w:val="20"/>
          <w:szCs w:val="20"/>
        </w:rPr>
        <w:t xml:space="preserve">C labeled 150 </w:t>
      </w:r>
      <w:proofErr w:type="spellStart"/>
      <w:r>
        <w:rPr>
          <w:rFonts w:ascii="Arial" w:hAnsi="Arial" w:cs="Arial"/>
          <w:sz w:val="20"/>
          <w:szCs w:val="20"/>
        </w:rPr>
        <w:t>kDa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77F13">
        <w:rPr>
          <w:rFonts w:ascii="Arial" w:hAnsi="Arial" w:cs="Arial"/>
          <w:sz w:val="20"/>
          <w:szCs w:val="20"/>
        </w:rPr>
        <w:t>o</w:t>
      </w:r>
      <w:r w:rsidR="00771371">
        <w:rPr>
          <w:rFonts w:ascii="Arial" w:hAnsi="Arial" w:cs="Arial"/>
          <w:sz w:val="20"/>
          <w:szCs w:val="20"/>
        </w:rPr>
        <w:t>ligomer samples</w:t>
      </w:r>
      <w:r>
        <w:rPr>
          <w:rFonts w:ascii="Arial" w:hAnsi="Arial" w:cs="Arial"/>
          <w:sz w:val="20"/>
          <w:szCs w:val="20"/>
        </w:rPr>
        <w:t>.</w:t>
      </w:r>
      <w:r w:rsidR="00D77F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</w:t>
      </w:r>
      <w:r w:rsidR="00D77F13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chose labeled sites that would allow us to test</w:t>
      </w:r>
      <w:r w:rsidR="00D77F13">
        <w:rPr>
          <w:rFonts w:ascii="Arial" w:hAnsi="Arial" w:cs="Arial"/>
          <w:sz w:val="20"/>
          <w:szCs w:val="20"/>
        </w:rPr>
        <w:t xml:space="preserve"> for the presence of a</w:t>
      </w:r>
      <w:r>
        <w:rPr>
          <w:rFonts w:ascii="Arial" w:hAnsi="Arial" w:cs="Arial"/>
          <w:sz w:val="20"/>
          <w:szCs w:val="20"/>
        </w:rPr>
        <w:t xml:space="preserve"> hypothesized</w:t>
      </w:r>
      <w:r w:rsidR="00D77F13">
        <w:rPr>
          <w:rFonts w:ascii="Arial" w:hAnsi="Arial" w:cs="Arial"/>
          <w:sz w:val="20"/>
          <w:szCs w:val="20"/>
        </w:rPr>
        <w:t xml:space="preserve"> antiparallel β-sheet centered at V36.</w:t>
      </w:r>
      <w:r w:rsidR="00D77F13" w:rsidRPr="00D77F13">
        <w:rPr>
          <w:rFonts w:ascii="Arial" w:hAnsi="Arial" w:cs="Arial"/>
          <w:sz w:val="20"/>
          <w:szCs w:val="20"/>
          <w:vertAlign w:val="superscript"/>
        </w:rPr>
        <w:t>1</w:t>
      </w:r>
      <w:r w:rsidR="00771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Our m</w:t>
      </w:r>
      <w:r w:rsidR="00D77F13">
        <w:rPr>
          <w:rFonts w:ascii="Arial" w:hAnsi="Arial" w:cs="Arial"/>
          <w:sz w:val="20"/>
          <w:szCs w:val="20"/>
        </w:rPr>
        <w:t xml:space="preserve">easurements </w:t>
      </w:r>
      <w:r>
        <w:rPr>
          <w:rFonts w:ascii="Arial" w:hAnsi="Arial" w:cs="Arial"/>
          <w:sz w:val="20"/>
          <w:szCs w:val="20"/>
        </w:rPr>
        <w:t xml:space="preserve">included 2D-fpRFDR, for </w:t>
      </w:r>
      <w:r w:rsidR="00D77F13">
        <w:rPr>
          <w:rFonts w:ascii="Arial" w:hAnsi="Arial" w:cs="Arial"/>
          <w:sz w:val="20"/>
          <w:szCs w:val="20"/>
        </w:rPr>
        <w:t xml:space="preserve">spectral assignments and precise chemical shifts, 2D-DARR to probe inter-residue spatial proximities, and 2D-CHHC to probe for </w:t>
      </w:r>
      <w:r w:rsidR="005476E3">
        <w:rPr>
          <w:rFonts w:ascii="Arial" w:hAnsi="Arial" w:cs="Arial"/>
          <w:sz w:val="20"/>
          <w:szCs w:val="20"/>
        </w:rPr>
        <w:t>the hypothesized</w:t>
      </w:r>
      <w:r w:rsidR="00D77F13">
        <w:rPr>
          <w:rFonts w:ascii="Arial" w:hAnsi="Arial" w:cs="Arial"/>
          <w:sz w:val="20"/>
          <w:szCs w:val="20"/>
        </w:rPr>
        <w:t xml:space="preserve"> arrangement of </w:t>
      </w:r>
      <w:r w:rsidRPr="00A56694">
        <w:rPr>
          <w:rFonts w:ascii="Arial" w:hAnsi="Arial" w:cs="Arial"/>
        </w:rPr>
        <w:t>α</w:t>
      </w:r>
      <w:r w:rsidR="00D77F13">
        <w:rPr>
          <w:rFonts w:ascii="Arial" w:hAnsi="Arial" w:cs="Arial"/>
          <w:sz w:val="20"/>
          <w:szCs w:val="20"/>
        </w:rPr>
        <w:t>-hydrogens</w:t>
      </w:r>
      <w:r w:rsidR="006D6C5D">
        <w:rPr>
          <w:rFonts w:ascii="Arial" w:hAnsi="Arial" w:cs="Arial"/>
          <w:sz w:val="20"/>
          <w:szCs w:val="20"/>
        </w:rPr>
        <w:t>.</w:t>
      </w:r>
      <w:r w:rsidR="00771371">
        <w:rPr>
          <w:rFonts w:ascii="Arial" w:hAnsi="Arial" w:cs="Arial"/>
          <w:sz w:val="20"/>
          <w:szCs w:val="20"/>
        </w:rPr>
        <w:fldChar w:fldCharType="begin"/>
      </w:r>
      <w:r w:rsidR="00771371">
        <w:rPr>
          <w:rFonts w:ascii="Arial" w:hAnsi="Arial" w:cs="Arial"/>
          <w:sz w:val="20"/>
          <w:szCs w:val="20"/>
        </w:rPr>
        <w:instrText>ADDIN RW.CITE{{154 Ishii,Y. 2001; 394 Takegoshi,K. 2001; 40 Tycko,R. 2003}}</w:instrText>
      </w:r>
      <w:r w:rsidR="00771371">
        <w:rPr>
          <w:rFonts w:ascii="Arial" w:hAnsi="Arial" w:cs="Arial"/>
          <w:sz w:val="20"/>
          <w:szCs w:val="20"/>
        </w:rPr>
        <w:fldChar w:fldCharType="separate"/>
      </w:r>
      <w:r w:rsidR="00771371">
        <w:rPr>
          <w:rFonts w:ascii="Arial" w:eastAsia="Times New Roman" w:hAnsi="Arial" w:cs="Arial"/>
          <w:sz w:val="20"/>
          <w:vertAlign w:val="superscript"/>
        </w:rPr>
        <w:t>2-4</w:t>
      </w:r>
      <w:r w:rsidR="00771371">
        <w:rPr>
          <w:rFonts w:ascii="Arial" w:hAnsi="Arial" w:cs="Arial"/>
          <w:sz w:val="20"/>
          <w:szCs w:val="20"/>
        </w:rPr>
        <w:fldChar w:fldCharType="end"/>
      </w:r>
      <w:r w:rsidR="005476E3" w:rsidRPr="005476E3">
        <w:rPr>
          <w:rFonts w:ascii="Arial" w:hAnsi="Arial" w:cs="Arial"/>
          <w:sz w:val="20"/>
          <w:szCs w:val="20"/>
        </w:rPr>
        <w:t xml:space="preserve"> </w:t>
      </w:r>
      <w:r w:rsidR="005476E3">
        <w:rPr>
          <w:rFonts w:ascii="Arial" w:hAnsi="Arial" w:cs="Arial"/>
          <w:sz w:val="20"/>
          <w:szCs w:val="20"/>
        </w:rPr>
        <w:t>In order to rationalize our NMR-derived experimental constraints with previously proposed oligomer molecular models</w:t>
      </w:r>
      <w:r w:rsidR="00771371">
        <w:rPr>
          <w:rFonts w:ascii="Arial" w:hAnsi="Arial" w:cs="Arial"/>
          <w:sz w:val="20"/>
          <w:szCs w:val="20"/>
        </w:rPr>
        <w:t xml:space="preserve">, we </w:t>
      </w:r>
      <w:r w:rsidR="006D6C5D">
        <w:rPr>
          <w:rFonts w:ascii="Arial" w:hAnsi="Arial" w:cs="Arial"/>
          <w:sz w:val="20"/>
          <w:szCs w:val="20"/>
        </w:rPr>
        <w:t>performed</w:t>
      </w:r>
      <w:r w:rsidR="00771371">
        <w:rPr>
          <w:rFonts w:ascii="Arial" w:hAnsi="Arial" w:cs="Arial"/>
          <w:sz w:val="20"/>
          <w:szCs w:val="20"/>
        </w:rPr>
        <w:t xml:space="preserve"> </w:t>
      </w:r>
      <w:r w:rsidR="006D6C5D">
        <w:rPr>
          <w:rFonts w:ascii="Arial" w:hAnsi="Arial" w:cs="Arial"/>
          <w:sz w:val="20"/>
          <w:szCs w:val="20"/>
        </w:rPr>
        <w:t xml:space="preserve">constrained </w:t>
      </w:r>
      <w:r w:rsidR="00771371">
        <w:rPr>
          <w:rFonts w:ascii="Arial" w:hAnsi="Arial" w:cs="Arial"/>
          <w:sz w:val="20"/>
          <w:szCs w:val="20"/>
        </w:rPr>
        <w:t>molecular</w:t>
      </w:r>
      <w:r w:rsidR="006D6C5D">
        <w:rPr>
          <w:rFonts w:ascii="Arial" w:hAnsi="Arial" w:cs="Arial"/>
          <w:sz w:val="20"/>
          <w:szCs w:val="20"/>
        </w:rPr>
        <w:t xml:space="preserve"> dynamics computer simulations</w:t>
      </w:r>
      <w:r w:rsidR="00771371">
        <w:rPr>
          <w:rFonts w:ascii="Arial" w:hAnsi="Arial" w:cs="Arial"/>
          <w:sz w:val="20"/>
          <w:szCs w:val="20"/>
        </w:rPr>
        <w:t xml:space="preserve">.  </w:t>
      </w:r>
    </w:p>
    <w:p w:rsidR="00771371" w:rsidRDefault="007713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Results and Discussion</w:t>
      </w:r>
    </w:p>
    <w:p w:rsidR="00771371" w:rsidRDefault="00760C4E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 w:rsidRPr="00760C4E"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101DFFB" wp14:editId="2FFA6E8F">
            <wp:simplePos x="0" y="0"/>
            <wp:positionH relativeFrom="column">
              <wp:posOffset>3779520</wp:posOffset>
            </wp:positionH>
            <wp:positionV relativeFrom="paragraph">
              <wp:posOffset>287020</wp:posOffset>
            </wp:positionV>
            <wp:extent cx="2467610" cy="1091565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5D">
        <w:rPr>
          <w:rFonts w:ascii="Arial" w:hAnsi="Arial" w:cs="Arial"/>
          <w:sz w:val="20"/>
          <w:szCs w:val="20"/>
        </w:rPr>
        <w:t xml:space="preserve">We found experimental evidence supporting our hypothesized antiparallel β-sheet within 150 </w:t>
      </w:r>
      <w:proofErr w:type="spellStart"/>
      <w:r w:rsidR="006D6C5D">
        <w:rPr>
          <w:rFonts w:ascii="Arial" w:hAnsi="Arial" w:cs="Arial"/>
          <w:sz w:val="20"/>
          <w:szCs w:val="20"/>
        </w:rPr>
        <w:t>kDa</w:t>
      </w:r>
      <w:proofErr w:type="spellEnd"/>
      <w:r w:rsidR="006D6C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D6C5D">
        <w:rPr>
          <w:rFonts w:ascii="Arial" w:hAnsi="Arial" w:cs="Arial"/>
          <w:sz w:val="20"/>
          <w:szCs w:val="20"/>
        </w:rPr>
        <w:t>Aβ(</w:t>
      </w:r>
      <w:proofErr w:type="gramEnd"/>
      <w:r w:rsidR="006D6C5D">
        <w:rPr>
          <w:rFonts w:ascii="Arial" w:hAnsi="Arial" w:cs="Arial"/>
          <w:sz w:val="20"/>
          <w:szCs w:val="20"/>
        </w:rPr>
        <w:t>1-42).  This interpretation is based on 1) our observation of</w:t>
      </w:r>
      <w:r w:rsidR="00771371">
        <w:rPr>
          <w:rFonts w:ascii="Arial" w:hAnsi="Arial" w:cs="Arial"/>
          <w:sz w:val="20"/>
          <w:szCs w:val="20"/>
        </w:rPr>
        <w:t xml:space="preserve"> β-strand secondary chemical shifts</w:t>
      </w:r>
      <w:r w:rsidR="006D6C5D">
        <w:rPr>
          <w:rFonts w:ascii="Arial" w:hAnsi="Arial" w:cs="Arial"/>
          <w:sz w:val="20"/>
          <w:szCs w:val="20"/>
        </w:rPr>
        <w:t xml:space="preserve"> at labeled sites between I32 and V40; 2) 2D-CHHC NMR c</w:t>
      </w:r>
      <w:r w:rsidR="00771371">
        <w:rPr>
          <w:rFonts w:ascii="Arial" w:hAnsi="Arial" w:cs="Arial"/>
          <w:sz w:val="20"/>
          <w:szCs w:val="20"/>
        </w:rPr>
        <w:t>ross-peaks indicating close proximity between M35 H</w:t>
      </w:r>
      <w:r w:rsidR="00771371">
        <w:rPr>
          <w:rFonts w:ascii="Arial" w:hAnsi="Arial" w:cs="Arial"/>
          <w:sz w:val="20"/>
          <w:szCs w:val="20"/>
          <w:vertAlign w:val="subscript"/>
        </w:rPr>
        <w:t>α</w:t>
      </w:r>
      <w:r w:rsidR="00771371">
        <w:rPr>
          <w:rFonts w:ascii="Arial" w:hAnsi="Arial" w:cs="Arial"/>
          <w:sz w:val="20"/>
          <w:szCs w:val="20"/>
        </w:rPr>
        <w:t xml:space="preserve"> and G37 H</w:t>
      </w:r>
      <w:r w:rsidR="00771371">
        <w:rPr>
          <w:rFonts w:ascii="Arial" w:hAnsi="Arial" w:cs="Arial"/>
          <w:sz w:val="20"/>
          <w:szCs w:val="20"/>
          <w:vertAlign w:val="subscript"/>
        </w:rPr>
        <w:t>α</w:t>
      </w:r>
      <w:r w:rsidR="006D6C5D">
        <w:rPr>
          <w:rFonts w:ascii="Arial" w:hAnsi="Arial" w:cs="Arial"/>
          <w:sz w:val="20"/>
          <w:szCs w:val="20"/>
        </w:rPr>
        <w:t>; and 3)</w:t>
      </w:r>
      <w:r w:rsidR="00771371">
        <w:rPr>
          <w:rFonts w:ascii="Arial" w:hAnsi="Arial" w:cs="Arial"/>
          <w:sz w:val="20"/>
          <w:szCs w:val="20"/>
        </w:rPr>
        <w:t xml:space="preserve"> 2D-DARR </w:t>
      </w:r>
      <w:proofErr w:type="spellStart"/>
      <w:r w:rsidR="006D6C5D">
        <w:rPr>
          <w:rFonts w:ascii="Arial" w:hAnsi="Arial" w:cs="Arial"/>
          <w:sz w:val="20"/>
          <w:szCs w:val="20"/>
        </w:rPr>
        <w:t>crosspeaks</w:t>
      </w:r>
      <w:proofErr w:type="spellEnd"/>
      <w:r w:rsidR="006D6C5D">
        <w:rPr>
          <w:rFonts w:ascii="Arial" w:hAnsi="Arial" w:cs="Arial"/>
          <w:sz w:val="20"/>
          <w:szCs w:val="20"/>
        </w:rPr>
        <w:t xml:space="preserve"> </w:t>
      </w:r>
      <w:r w:rsidR="00771371">
        <w:rPr>
          <w:rFonts w:ascii="Arial" w:hAnsi="Arial" w:cs="Arial"/>
          <w:sz w:val="20"/>
          <w:szCs w:val="20"/>
        </w:rPr>
        <w:t>indicating close intermolecular spatial proximities between I32 and V</w:t>
      </w:r>
      <w:r w:rsidR="00771371" w:rsidRPr="00760C4E">
        <w:rPr>
          <w:rFonts w:ascii="Arial" w:hAnsi="Arial" w:cs="Arial"/>
          <w:sz w:val="20"/>
          <w:szCs w:val="20"/>
        </w:rPr>
        <w:t xml:space="preserve">40 as well as M35 and </w:t>
      </w:r>
      <w:proofErr w:type="gramStart"/>
      <w:r w:rsidR="00771371" w:rsidRPr="00760C4E">
        <w:rPr>
          <w:rFonts w:ascii="Arial" w:hAnsi="Arial" w:cs="Arial"/>
          <w:sz w:val="20"/>
          <w:szCs w:val="20"/>
        </w:rPr>
        <w:t>G37</w:t>
      </w:r>
      <w:r w:rsidR="006D6C5D" w:rsidRPr="00760C4E">
        <w:rPr>
          <w:rFonts w:ascii="Arial" w:hAnsi="Arial" w:cs="Arial"/>
          <w:sz w:val="20"/>
          <w:szCs w:val="20"/>
        </w:rPr>
        <w:t>.</w:t>
      </w:r>
      <w:r w:rsidR="006D6C5D" w:rsidRPr="00760C4E">
        <w:rPr>
          <w:rFonts w:ascii="Arial" w:hAnsi="Arial" w:cs="Arial"/>
          <w:sz w:val="20"/>
          <w:szCs w:val="20"/>
          <w:vertAlign w:val="superscript"/>
        </w:rPr>
        <w:t>5</w:t>
      </w:r>
      <w:r w:rsidR="006D6C5D" w:rsidRPr="00760C4E">
        <w:rPr>
          <w:rFonts w:ascii="Arial" w:hAnsi="Arial" w:cs="Arial"/>
          <w:sz w:val="20"/>
          <w:szCs w:val="20"/>
        </w:rPr>
        <w:t xml:space="preserve">  Fig</w:t>
      </w:r>
      <w:proofErr w:type="gramEnd"/>
      <w:r w:rsidR="006D6C5D" w:rsidRPr="00760C4E">
        <w:rPr>
          <w:rFonts w:ascii="Arial" w:hAnsi="Arial" w:cs="Arial"/>
          <w:sz w:val="20"/>
          <w:szCs w:val="20"/>
        </w:rPr>
        <w:t>. 1 shows molecular model</w:t>
      </w:r>
      <w:r w:rsidRPr="00760C4E">
        <w:rPr>
          <w:rFonts w:ascii="Arial" w:hAnsi="Arial" w:cs="Arial"/>
          <w:sz w:val="20"/>
          <w:szCs w:val="20"/>
        </w:rPr>
        <w:t xml:space="preserve">s of </w:t>
      </w:r>
      <w:proofErr w:type="spellStart"/>
      <w:r w:rsidRPr="00760C4E">
        <w:rPr>
          <w:rFonts w:ascii="Arial" w:hAnsi="Arial" w:cs="Arial"/>
          <w:sz w:val="20"/>
          <w:szCs w:val="20"/>
        </w:rPr>
        <w:t>antiplarallel</w:t>
      </w:r>
      <w:proofErr w:type="spellEnd"/>
      <w:r w:rsidRPr="00760C4E">
        <w:rPr>
          <w:rFonts w:ascii="Arial" w:hAnsi="Arial" w:cs="Arial"/>
          <w:sz w:val="20"/>
          <w:szCs w:val="20"/>
        </w:rPr>
        <w:t xml:space="preserve"> β-sheets that are consistent with our NMR data</w:t>
      </w:r>
      <w:r w:rsidR="00771371" w:rsidRPr="00760C4E">
        <w:rPr>
          <w:rFonts w:ascii="Arial" w:hAnsi="Arial" w:cs="Arial"/>
          <w:sz w:val="20"/>
          <w:szCs w:val="20"/>
        </w:rPr>
        <w:t>.</w:t>
      </w:r>
      <w:r w:rsidRPr="00760C4E">
        <w:rPr>
          <w:noProof/>
          <w:lang w:eastAsia="en-US"/>
        </w:rPr>
        <w:t xml:space="preserve"> </w:t>
      </w:r>
    </w:p>
    <w:p w:rsidR="00771371" w:rsidRDefault="00760C4E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38C3D" wp14:editId="0E47B48A">
                <wp:simplePos x="0" y="0"/>
                <wp:positionH relativeFrom="column">
                  <wp:posOffset>3685540</wp:posOffset>
                </wp:positionH>
                <wp:positionV relativeFrom="paragraph">
                  <wp:posOffset>5080</wp:posOffset>
                </wp:positionV>
                <wp:extent cx="2792730" cy="1120775"/>
                <wp:effectExtent l="0" t="0" r="762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71" w:rsidRDefault="007713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95E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0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All-atom models of antiparallel β-</w:t>
                            </w:r>
                            <w:proofErr w:type="spellStart"/>
                            <w:r w:rsidR="00760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shees</w:t>
                            </w:r>
                            <w:proofErr w:type="spellEnd"/>
                            <w:r w:rsidR="00760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 are consistent with our NMR data.  The atoms drawn correspond to atoms for which NMR data provide direct structural constraints.  a) a β-sheet model in which all β-strands are equivalent and</w:t>
                            </w:r>
                            <w:r w:rsidR="00466C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composed on residues 32-40</w:t>
                            </w:r>
                            <w:r w:rsidR="00760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b) a β-sheet model composed on β-hairpins each consisting two inequivalent of β-strands.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.4pt;width:219.9pt;height:8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HgwIAABA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" stroked="f">
                <v:textbox>
                  <w:txbxContent>
                    <w:p w:rsidR="00771371" w:rsidRDefault="0077137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95E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60C4E">
                        <w:rPr>
                          <w:rFonts w:ascii="Arial" w:hAnsi="Arial" w:cs="Arial"/>
                          <w:sz w:val="18"/>
                          <w:szCs w:val="18"/>
                        </w:rPr>
                        <w:t>All-atom models of antiparallel β-</w:t>
                      </w:r>
                      <w:proofErr w:type="spellStart"/>
                      <w:r w:rsidR="00760C4E">
                        <w:rPr>
                          <w:rFonts w:ascii="Arial" w:hAnsi="Arial" w:cs="Arial"/>
                          <w:sz w:val="18"/>
                          <w:szCs w:val="18"/>
                        </w:rPr>
                        <w:t>shees</w:t>
                      </w:r>
                      <w:proofErr w:type="spellEnd"/>
                      <w:r w:rsidR="00760C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 are consistent with our NMR data.  The atoms drawn correspond to atoms for which NMR data provide direct structural constraints.  a) a β-sheet model in which all β-strands are equivalent and</w:t>
                      </w:r>
                      <w:r w:rsidR="00466C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composed on residues 32-40</w:t>
                      </w:r>
                      <w:r w:rsidR="00760C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b) a β-sheet model composed on β-hairpins each consisting two inequivalent of β-strands.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1371" w:rsidRDefault="007713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Conclusions</w:t>
      </w:r>
    </w:p>
    <w:p w:rsidR="00771371" w:rsidRDefault="00771371">
      <w:pPr>
        <w:tabs>
          <w:tab w:val="left" w:pos="360"/>
        </w:tabs>
        <w:ind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The results indicated that the C-terminal β-strands within the </w:t>
      </w:r>
      <w:proofErr w:type="gramStart"/>
      <w:r>
        <w:rPr>
          <w:rFonts w:ascii="Arial" w:hAnsi="Arial" w:cs="Arial"/>
          <w:sz w:val="20"/>
          <w:szCs w:val="20"/>
        </w:rPr>
        <w:t>Aβ(</w:t>
      </w:r>
      <w:proofErr w:type="gramEnd"/>
      <w:r>
        <w:rPr>
          <w:rFonts w:ascii="Arial" w:hAnsi="Arial" w:cs="Arial"/>
          <w:sz w:val="20"/>
          <w:szCs w:val="20"/>
        </w:rPr>
        <w:t>1-42) peptide are arranged into antiparallel β-sheets whe</w:t>
      </w:r>
      <w:r w:rsidR="004215EB">
        <w:rPr>
          <w:rFonts w:ascii="Arial" w:hAnsi="Arial" w:cs="Arial"/>
          <w:sz w:val="20"/>
          <w:szCs w:val="20"/>
        </w:rPr>
        <w:t>n they form the 150kDa oligomer.  T</w:t>
      </w:r>
      <w:r>
        <w:rPr>
          <w:rFonts w:ascii="Arial" w:hAnsi="Arial" w:cs="Arial"/>
          <w:sz w:val="20"/>
          <w:szCs w:val="20"/>
        </w:rPr>
        <w:t>his result could represent an aggregation pathway</w:t>
      </w:r>
      <w:r w:rsidR="002F54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differs from the fibril formation pathway.    </w:t>
      </w:r>
    </w:p>
    <w:p w:rsidR="00771371" w:rsidRDefault="00771371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Acknowledgements</w:t>
      </w:r>
    </w:p>
    <w:p w:rsidR="00771371" w:rsidRDefault="00771371">
      <w:pPr>
        <w:tabs>
          <w:tab w:val="left" w:pos="36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work was supported by the Alzheimer’s Association (grant NIRG-10-173755), the National High Magnetic Field Laboratory User Collaboration Research Grant Program, and the National Institute on Aging of the National Institutes of Health (award number R01AG045703).  A portion of this work was performed at the National High Magnetic Field Laboratory, which is supported by National Science Foundation Cooperative Agreement No. </w:t>
      </w:r>
      <w:proofErr w:type="gramStart"/>
      <w:r>
        <w:rPr>
          <w:rFonts w:ascii="Arial" w:hAnsi="Arial" w:cs="Arial"/>
          <w:sz w:val="20"/>
          <w:szCs w:val="20"/>
        </w:rPr>
        <w:t>DMR-</w:t>
      </w:r>
      <w:r w:rsidR="003F5DB5">
        <w:rPr>
          <w:rFonts w:ascii="Arial" w:hAnsi="Arial" w:cs="Arial"/>
          <w:sz w:val="20"/>
          <w:szCs w:val="20"/>
        </w:rPr>
        <w:t>1157490</w:t>
      </w:r>
      <w:r w:rsidR="002F547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 State of Florida.</w:t>
      </w:r>
      <w:proofErr w:type="gramEnd"/>
    </w:p>
    <w:p w:rsidR="00771371" w:rsidRDefault="007713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71371" w:rsidRDefault="00771371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</w:t>
      </w:r>
      <w:r w:rsidR="003F5DB5">
        <w:rPr>
          <w:rFonts w:ascii="Arial" w:hAnsi="Arial" w:cs="Arial"/>
          <w:b/>
          <w:sz w:val="20"/>
          <w:szCs w:val="20"/>
        </w:rPr>
        <w:t>s</w:t>
      </w:r>
    </w:p>
    <w:p w:rsidR="00771371" w:rsidRPr="009210C0" w:rsidRDefault="003F5D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210C0">
        <w:rPr>
          <w:rFonts w:ascii="Arial" w:hAnsi="Arial" w:cs="Arial"/>
          <w:sz w:val="20"/>
          <w:szCs w:val="20"/>
        </w:rPr>
        <w:t>[</w:t>
      </w:r>
      <w:r w:rsidR="00771371" w:rsidRPr="009210C0">
        <w:rPr>
          <w:rFonts w:ascii="Arial" w:hAnsi="Arial" w:cs="Arial"/>
          <w:sz w:val="20"/>
          <w:szCs w:val="20"/>
        </w:rPr>
        <w:t>1</w:t>
      </w:r>
      <w:r w:rsidRPr="009210C0">
        <w:rPr>
          <w:rFonts w:ascii="Arial" w:hAnsi="Arial" w:cs="Arial"/>
          <w:sz w:val="20"/>
          <w:szCs w:val="20"/>
        </w:rPr>
        <w:t>]</w:t>
      </w:r>
      <w:r w:rsidR="002F54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5477">
        <w:rPr>
          <w:rFonts w:ascii="Arial" w:hAnsi="Arial" w:cs="Arial"/>
          <w:sz w:val="20"/>
          <w:szCs w:val="20"/>
        </w:rPr>
        <w:t>Tay</w:t>
      </w:r>
      <w:proofErr w:type="spellEnd"/>
      <w:r w:rsidR="002F5477">
        <w:rPr>
          <w:rFonts w:ascii="Arial" w:hAnsi="Arial" w:cs="Arial"/>
          <w:sz w:val="20"/>
          <w:szCs w:val="20"/>
        </w:rPr>
        <w:t>, W.</w:t>
      </w:r>
      <w:r w:rsidR="00771371" w:rsidRPr="009210C0">
        <w:rPr>
          <w:rFonts w:ascii="Arial" w:hAnsi="Arial" w:cs="Arial"/>
          <w:sz w:val="20"/>
          <w:szCs w:val="20"/>
        </w:rPr>
        <w:t xml:space="preserve">M., </w:t>
      </w:r>
      <w:r w:rsidR="00771371" w:rsidRPr="009210C0">
        <w:rPr>
          <w:rFonts w:ascii="Arial" w:hAnsi="Arial" w:cs="Arial"/>
          <w:i/>
          <w:sz w:val="20"/>
          <w:szCs w:val="20"/>
        </w:rPr>
        <w:t>et al</w:t>
      </w:r>
      <w:r w:rsidRPr="009210C0">
        <w:rPr>
          <w:rFonts w:ascii="Arial" w:hAnsi="Arial" w:cs="Arial"/>
          <w:i/>
          <w:sz w:val="20"/>
          <w:szCs w:val="20"/>
        </w:rPr>
        <w:t>.,</w:t>
      </w:r>
      <w:r w:rsidR="00771371" w:rsidRPr="009210C0">
        <w:rPr>
          <w:rFonts w:ascii="Arial" w:hAnsi="Arial" w:cs="Arial"/>
          <w:sz w:val="20"/>
          <w:szCs w:val="20"/>
        </w:rPr>
        <w:t xml:space="preserve"> J. Mol. Biol.</w:t>
      </w:r>
      <w:r w:rsidRPr="009210C0">
        <w:rPr>
          <w:rFonts w:ascii="Arial" w:hAnsi="Arial" w:cs="Arial"/>
          <w:sz w:val="20"/>
          <w:szCs w:val="20"/>
        </w:rPr>
        <w:t xml:space="preserve">, </w:t>
      </w:r>
      <w:r w:rsidR="00771371" w:rsidRPr="009210C0">
        <w:rPr>
          <w:rFonts w:ascii="Arial" w:hAnsi="Arial" w:cs="Arial"/>
          <w:b/>
          <w:bCs/>
          <w:sz w:val="20"/>
          <w:szCs w:val="20"/>
        </w:rPr>
        <w:t>425</w:t>
      </w:r>
      <w:r w:rsidRPr="009210C0">
        <w:rPr>
          <w:rFonts w:ascii="Arial" w:hAnsi="Arial" w:cs="Arial"/>
          <w:b/>
          <w:bCs/>
          <w:sz w:val="20"/>
          <w:szCs w:val="20"/>
        </w:rPr>
        <w:t>,</w:t>
      </w:r>
      <w:r w:rsidRPr="009210C0">
        <w:rPr>
          <w:rFonts w:ascii="Arial" w:hAnsi="Arial" w:cs="Arial"/>
          <w:sz w:val="20"/>
          <w:szCs w:val="20"/>
        </w:rPr>
        <w:t xml:space="preserve"> 2494-2508 </w:t>
      </w:r>
      <w:r w:rsidR="00771371" w:rsidRPr="009210C0">
        <w:rPr>
          <w:rFonts w:ascii="Arial" w:hAnsi="Arial" w:cs="Arial"/>
          <w:sz w:val="20"/>
          <w:szCs w:val="20"/>
        </w:rPr>
        <w:t>(2013).</w:t>
      </w:r>
    </w:p>
    <w:p w:rsidR="00771371" w:rsidRPr="009210C0" w:rsidRDefault="003F5D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210C0">
        <w:rPr>
          <w:rFonts w:ascii="Arial" w:hAnsi="Arial" w:cs="Arial"/>
          <w:sz w:val="20"/>
          <w:szCs w:val="20"/>
        </w:rPr>
        <w:t>[2] Ishii, Y.</w:t>
      </w:r>
      <w:r w:rsidR="00771371" w:rsidRPr="009210C0">
        <w:rPr>
          <w:rFonts w:ascii="Arial" w:hAnsi="Arial" w:cs="Arial"/>
          <w:sz w:val="20"/>
          <w:szCs w:val="20"/>
        </w:rPr>
        <w:t>J.</w:t>
      </w:r>
      <w:r w:rsidRPr="009210C0">
        <w:rPr>
          <w:rFonts w:ascii="Arial" w:hAnsi="Arial" w:cs="Arial"/>
          <w:sz w:val="20"/>
          <w:szCs w:val="20"/>
        </w:rPr>
        <w:t>,</w:t>
      </w:r>
      <w:r w:rsidR="00771371" w:rsidRPr="009210C0">
        <w:rPr>
          <w:rFonts w:ascii="Arial" w:hAnsi="Arial" w:cs="Arial"/>
          <w:sz w:val="20"/>
          <w:szCs w:val="20"/>
        </w:rPr>
        <w:t xml:space="preserve"> Chem. Phys.</w:t>
      </w:r>
      <w:r w:rsidRPr="009210C0">
        <w:rPr>
          <w:rFonts w:ascii="Arial" w:hAnsi="Arial" w:cs="Arial"/>
          <w:sz w:val="20"/>
          <w:szCs w:val="20"/>
        </w:rPr>
        <w:t xml:space="preserve">, </w:t>
      </w:r>
      <w:r w:rsidR="00771371" w:rsidRPr="009210C0">
        <w:rPr>
          <w:rFonts w:ascii="Arial" w:hAnsi="Arial" w:cs="Arial"/>
          <w:b/>
          <w:bCs/>
          <w:sz w:val="20"/>
          <w:szCs w:val="20"/>
        </w:rPr>
        <w:t>114</w:t>
      </w:r>
      <w:r w:rsidRPr="009210C0">
        <w:rPr>
          <w:rFonts w:ascii="Arial" w:hAnsi="Arial" w:cs="Arial"/>
          <w:b/>
          <w:bCs/>
          <w:sz w:val="20"/>
          <w:szCs w:val="20"/>
        </w:rPr>
        <w:t>,</w:t>
      </w:r>
      <w:r w:rsidRPr="009210C0">
        <w:rPr>
          <w:rFonts w:ascii="Arial" w:hAnsi="Arial" w:cs="Arial"/>
          <w:sz w:val="20"/>
          <w:szCs w:val="20"/>
        </w:rPr>
        <w:t xml:space="preserve"> 8473-8483 </w:t>
      </w:r>
      <w:r w:rsidR="00771371" w:rsidRPr="009210C0">
        <w:rPr>
          <w:rFonts w:ascii="Arial" w:hAnsi="Arial" w:cs="Arial"/>
          <w:sz w:val="20"/>
          <w:szCs w:val="20"/>
        </w:rPr>
        <w:t>(2001).</w:t>
      </w:r>
      <w:bookmarkStart w:id="0" w:name="_GoBack"/>
      <w:bookmarkEnd w:id="0"/>
    </w:p>
    <w:p w:rsidR="00771371" w:rsidRPr="009210C0" w:rsidRDefault="003F5D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210C0">
        <w:rPr>
          <w:rFonts w:ascii="Arial" w:hAnsi="Arial" w:cs="Arial"/>
          <w:sz w:val="20"/>
          <w:szCs w:val="20"/>
        </w:rPr>
        <w:t>[</w:t>
      </w:r>
      <w:r w:rsidR="00771371" w:rsidRPr="009210C0">
        <w:rPr>
          <w:rFonts w:ascii="Arial" w:hAnsi="Arial" w:cs="Arial"/>
          <w:sz w:val="20"/>
          <w:szCs w:val="20"/>
        </w:rPr>
        <w:t>3</w:t>
      </w:r>
      <w:r w:rsidRPr="009210C0">
        <w:rPr>
          <w:rFonts w:ascii="Arial" w:hAnsi="Arial" w:cs="Arial"/>
          <w:sz w:val="20"/>
          <w:szCs w:val="20"/>
        </w:rPr>
        <w:t>]</w:t>
      </w:r>
      <w:r w:rsidR="00771371" w:rsidRPr="009210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371" w:rsidRPr="009210C0">
        <w:rPr>
          <w:rFonts w:ascii="Arial" w:hAnsi="Arial" w:cs="Arial"/>
          <w:sz w:val="20"/>
          <w:szCs w:val="20"/>
        </w:rPr>
        <w:t>Takegoshi</w:t>
      </w:r>
      <w:proofErr w:type="spellEnd"/>
      <w:r w:rsidR="00771371" w:rsidRPr="009210C0">
        <w:rPr>
          <w:rFonts w:ascii="Arial" w:hAnsi="Arial" w:cs="Arial"/>
          <w:sz w:val="20"/>
          <w:szCs w:val="20"/>
        </w:rPr>
        <w:t xml:space="preserve">, K., </w:t>
      </w:r>
      <w:r w:rsidR="00771371" w:rsidRPr="009210C0">
        <w:rPr>
          <w:rFonts w:ascii="Arial" w:hAnsi="Arial" w:cs="Arial"/>
          <w:i/>
          <w:sz w:val="20"/>
          <w:szCs w:val="20"/>
        </w:rPr>
        <w:t>et al</w:t>
      </w:r>
      <w:r w:rsidRPr="009210C0">
        <w:rPr>
          <w:rFonts w:ascii="Arial" w:hAnsi="Arial" w:cs="Arial"/>
          <w:i/>
          <w:sz w:val="20"/>
          <w:szCs w:val="20"/>
        </w:rPr>
        <w:t>.,</w:t>
      </w:r>
      <w:r w:rsidR="00771371" w:rsidRPr="009210C0">
        <w:rPr>
          <w:rFonts w:ascii="Arial" w:hAnsi="Arial" w:cs="Arial"/>
          <w:sz w:val="20"/>
          <w:szCs w:val="20"/>
        </w:rPr>
        <w:t xml:space="preserve"> Chem. Phys. Lett.</w:t>
      </w:r>
      <w:r w:rsidRPr="009210C0">
        <w:rPr>
          <w:rFonts w:ascii="Arial" w:hAnsi="Arial" w:cs="Arial"/>
          <w:sz w:val="20"/>
          <w:szCs w:val="20"/>
        </w:rPr>
        <w:t xml:space="preserve">, </w:t>
      </w:r>
      <w:r w:rsidR="00771371" w:rsidRPr="009210C0">
        <w:rPr>
          <w:rFonts w:ascii="Arial" w:hAnsi="Arial" w:cs="Arial"/>
          <w:b/>
          <w:bCs/>
          <w:sz w:val="20"/>
          <w:szCs w:val="20"/>
        </w:rPr>
        <w:t>344</w:t>
      </w:r>
      <w:r w:rsidRPr="009210C0">
        <w:rPr>
          <w:rFonts w:ascii="Arial" w:hAnsi="Arial" w:cs="Arial"/>
          <w:b/>
          <w:bCs/>
          <w:sz w:val="20"/>
          <w:szCs w:val="20"/>
        </w:rPr>
        <w:t xml:space="preserve">, </w:t>
      </w:r>
      <w:r w:rsidR="00771371" w:rsidRPr="009210C0">
        <w:rPr>
          <w:rFonts w:ascii="Arial" w:hAnsi="Arial" w:cs="Arial"/>
          <w:sz w:val="20"/>
          <w:szCs w:val="20"/>
        </w:rPr>
        <w:t>631-637</w:t>
      </w:r>
      <w:r w:rsidRPr="009210C0">
        <w:rPr>
          <w:rFonts w:ascii="Arial" w:hAnsi="Arial" w:cs="Arial"/>
          <w:sz w:val="20"/>
          <w:szCs w:val="20"/>
        </w:rPr>
        <w:t xml:space="preserve"> </w:t>
      </w:r>
      <w:r w:rsidR="00771371" w:rsidRPr="009210C0">
        <w:rPr>
          <w:rFonts w:ascii="Arial" w:hAnsi="Arial" w:cs="Arial"/>
          <w:sz w:val="20"/>
          <w:szCs w:val="20"/>
        </w:rPr>
        <w:t>(2001).</w:t>
      </w:r>
    </w:p>
    <w:p w:rsidR="00771371" w:rsidRDefault="003F5DB5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9210C0">
        <w:rPr>
          <w:rFonts w:ascii="Arial" w:hAnsi="Arial" w:cs="Arial"/>
          <w:sz w:val="20"/>
          <w:szCs w:val="20"/>
        </w:rPr>
        <w:t>[</w:t>
      </w:r>
      <w:r w:rsidR="00771371" w:rsidRPr="009210C0">
        <w:rPr>
          <w:rFonts w:ascii="Arial" w:hAnsi="Arial" w:cs="Arial"/>
          <w:sz w:val="20"/>
          <w:szCs w:val="20"/>
        </w:rPr>
        <w:t>4</w:t>
      </w:r>
      <w:r w:rsidRPr="009210C0">
        <w:rPr>
          <w:rFonts w:ascii="Arial" w:hAnsi="Arial" w:cs="Arial"/>
          <w:sz w:val="20"/>
          <w:szCs w:val="20"/>
        </w:rPr>
        <w:t>]</w:t>
      </w:r>
      <w:r w:rsidR="00771371" w:rsidRPr="009210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1371" w:rsidRPr="009210C0">
        <w:rPr>
          <w:rFonts w:ascii="Arial" w:hAnsi="Arial" w:cs="Arial"/>
          <w:sz w:val="20"/>
          <w:szCs w:val="20"/>
        </w:rPr>
        <w:t>Tycko</w:t>
      </w:r>
      <w:proofErr w:type="spellEnd"/>
      <w:r w:rsidR="00771371" w:rsidRPr="009210C0">
        <w:rPr>
          <w:rFonts w:ascii="Arial" w:hAnsi="Arial" w:cs="Arial"/>
          <w:sz w:val="20"/>
          <w:szCs w:val="20"/>
        </w:rPr>
        <w:t>, R.</w:t>
      </w:r>
      <w:r w:rsidRPr="009210C0">
        <w:rPr>
          <w:rFonts w:ascii="Arial" w:hAnsi="Arial" w:cs="Arial"/>
          <w:sz w:val="20"/>
          <w:szCs w:val="20"/>
        </w:rPr>
        <w:t xml:space="preserve">, </w:t>
      </w:r>
      <w:r w:rsidRPr="009210C0">
        <w:rPr>
          <w:rFonts w:ascii="Arial" w:hAnsi="Arial" w:cs="Arial"/>
          <w:i/>
          <w:sz w:val="20"/>
          <w:szCs w:val="20"/>
        </w:rPr>
        <w:t>et al.,</w:t>
      </w:r>
      <w:r w:rsidRPr="009210C0">
        <w:rPr>
          <w:rFonts w:ascii="Arial" w:hAnsi="Arial" w:cs="Arial"/>
          <w:sz w:val="20"/>
          <w:szCs w:val="20"/>
        </w:rPr>
        <w:t xml:space="preserve"> </w:t>
      </w:r>
      <w:r w:rsidR="00771371" w:rsidRPr="009210C0">
        <w:rPr>
          <w:rFonts w:ascii="Arial" w:hAnsi="Arial" w:cs="Arial"/>
          <w:sz w:val="20"/>
          <w:szCs w:val="20"/>
        </w:rPr>
        <w:t>J. Am. Chem. Soc.</w:t>
      </w:r>
      <w:r w:rsidRPr="009210C0">
        <w:rPr>
          <w:rFonts w:ascii="Arial" w:hAnsi="Arial" w:cs="Arial"/>
          <w:sz w:val="20"/>
          <w:szCs w:val="20"/>
        </w:rPr>
        <w:t xml:space="preserve">, </w:t>
      </w:r>
      <w:r w:rsidR="00771371" w:rsidRPr="009210C0">
        <w:rPr>
          <w:rFonts w:ascii="Arial" w:hAnsi="Arial" w:cs="Arial"/>
          <w:b/>
          <w:bCs/>
          <w:sz w:val="20"/>
          <w:szCs w:val="20"/>
        </w:rPr>
        <w:t>125</w:t>
      </w:r>
      <w:r w:rsidRPr="009210C0">
        <w:rPr>
          <w:rFonts w:ascii="Arial" w:hAnsi="Arial" w:cs="Arial"/>
          <w:b/>
          <w:bCs/>
          <w:sz w:val="20"/>
          <w:szCs w:val="20"/>
        </w:rPr>
        <w:t>,</w:t>
      </w:r>
      <w:r w:rsidR="00771371" w:rsidRPr="009210C0">
        <w:rPr>
          <w:rFonts w:ascii="Arial" w:hAnsi="Arial" w:cs="Arial"/>
          <w:sz w:val="20"/>
          <w:szCs w:val="20"/>
        </w:rPr>
        <w:t xml:space="preserve"> 6606-6607</w:t>
      </w:r>
      <w:r w:rsidRPr="009210C0">
        <w:rPr>
          <w:rFonts w:ascii="Arial" w:hAnsi="Arial" w:cs="Arial"/>
          <w:sz w:val="20"/>
          <w:szCs w:val="20"/>
        </w:rPr>
        <w:t xml:space="preserve"> </w:t>
      </w:r>
      <w:r w:rsidR="00771371" w:rsidRPr="009210C0">
        <w:rPr>
          <w:rFonts w:ascii="Arial" w:hAnsi="Arial" w:cs="Arial"/>
          <w:sz w:val="20"/>
          <w:szCs w:val="20"/>
        </w:rPr>
        <w:t>(2003).</w:t>
      </w:r>
    </w:p>
    <w:p w:rsidR="006D6C5D" w:rsidRPr="009210C0" w:rsidRDefault="006D6C5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[5] </w:t>
      </w:r>
      <w:r w:rsidR="00760C4E">
        <w:rPr>
          <w:rFonts w:ascii="Arial" w:hAnsi="Arial" w:cs="Arial"/>
          <w:sz w:val="20"/>
          <w:szCs w:val="20"/>
        </w:rPr>
        <w:t xml:space="preserve">Huang, D., </w:t>
      </w:r>
      <w:r w:rsidR="00760C4E" w:rsidRPr="00760C4E">
        <w:rPr>
          <w:rFonts w:ascii="Arial" w:hAnsi="Arial" w:cs="Arial"/>
          <w:i/>
          <w:sz w:val="20"/>
          <w:szCs w:val="20"/>
        </w:rPr>
        <w:t xml:space="preserve">et. </w:t>
      </w:r>
      <w:proofErr w:type="gramStart"/>
      <w:r w:rsidR="00760C4E" w:rsidRPr="00760C4E">
        <w:rPr>
          <w:rFonts w:ascii="Arial" w:hAnsi="Arial" w:cs="Arial"/>
          <w:i/>
          <w:sz w:val="20"/>
          <w:szCs w:val="20"/>
        </w:rPr>
        <w:t>al.</w:t>
      </w:r>
      <w:r w:rsidR="002F5477">
        <w:rPr>
          <w:rFonts w:ascii="Arial" w:hAnsi="Arial" w:cs="Arial"/>
          <w:i/>
          <w:sz w:val="20"/>
          <w:szCs w:val="20"/>
        </w:rPr>
        <w:t>,</w:t>
      </w:r>
      <w:r w:rsidR="00760C4E">
        <w:rPr>
          <w:rFonts w:ascii="Arial" w:hAnsi="Arial" w:cs="Arial"/>
          <w:sz w:val="20"/>
          <w:szCs w:val="20"/>
        </w:rPr>
        <w:t xml:space="preserve"> J. Mol. Biol.</w:t>
      </w:r>
      <w:r w:rsidR="002F5477">
        <w:rPr>
          <w:rFonts w:ascii="Arial" w:hAnsi="Arial" w:cs="Arial"/>
          <w:sz w:val="20"/>
          <w:szCs w:val="20"/>
        </w:rPr>
        <w:t>,</w:t>
      </w:r>
      <w:r w:rsidR="00760C4E">
        <w:rPr>
          <w:rFonts w:ascii="Arial" w:hAnsi="Arial" w:cs="Arial"/>
          <w:sz w:val="20"/>
          <w:szCs w:val="20"/>
        </w:rPr>
        <w:t xml:space="preserve"> </w:t>
      </w:r>
      <w:r w:rsidR="00760C4E" w:rsidRPr="00760C4E">
        <w:rPr>
          <w:rFonts w:ascii="Arial" w:hAnsi="Arial" w:cs="Arial"/>
          <w:b/>
          <w:sz w:val="20"/>
          <w:szCs w:val="20"/>
        </w:rPr>
        <w:t>427</w:t>
      </w:r>
      <w:r w:rsidR="00760C4E">
        <w:rPr>
          <w:rFonts w:ascii="Arial" w:hAnsi="Arial" w:cs="Arial"/>
          <w:sz w:val="20"/>
          <w:szCs w:val="20"/>
        </w:rPr>
        <w:t>, 2319-2328 (2015).</w:t>
      </w:r>
      <w:proofErr w:type="gramEnd"/>
    </w:p>
    <w:p w:rsidR="00771371" w:rsidRDefault="00771371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771371">
      <w:headerReference w:type="default" r:id="rId9"/>
      <w:pgSz w:w="12240" w:h="15840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7" w:rsidRDefault="007268F7">
      <w:r>
        <w:separator/>
      </w:r>
    </w:p>
  </w:endnote>
  <w:endnote w:type="continuationSeparator" w:id="0">
    <w:p w:rsidR="007268F7" w:rsidRDefault="007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7" w:rsidRDefault="007268F7">
      <w:r>
        <w:separator/>
      </w:r>
    </w:p>
  </w:footnote>
  <w:footnote w:type="continuationSeparator" w:id="0">
    <w:p w:rsidR="007268F7" w:rsidRDefault="007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71" w:rsidRDefault="00D77F13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371" w:rsidRDefault="007713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NATIONAL HIGH MAGNETIC FIELD LABORATORY</w:t>
                          </w:r>
                        </w:p>
                        <w:p w:rsidR="00771371" w:rsidRDefault="0077137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2014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:rsidR="00771371" w:rsidRDefault="00771371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NATIONAL HIGH MAGNETIC FIELD LABORATORY</w:t>
                    </w:r>
                  </w:p>
                  <w:p w:rsidR="00771371" w:rsidRDefault="00771371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2014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3875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E1FB6492"/>
    <w:rsid w:val="00020C55"/>
    <w:rsid w:val="000558AC"/>
    <w:rsid w:val="000736B9"/>
    <w:rsid w:val="000A1716"/>
    <w:rsid w:val="000A59A8"/>
    <w:rsid w:val="000E1D4F"/>
    <w:rsid w:val="00104A4C"/>
    <w:rsid w:val="00113D92"/>
    <w:rsid w:val="00120180"/>
    <w:rsid w:val="0014131B"/>
    <w:rsid w:val="00141FE9"/>
    <w:rsid w:val="00155AD2"/>
    <w:rsid w:val="00167606"/>
    <w:rsid w:val="0018419E"/>
    <w:rsid w:val="0018697C"/>
    <w:rsid w:val="00187023"/>
    <w:rsid w:val="001E526E"/>
    <w:rsid w:val="001E5ECF"/>
    <w:rsid w:val="001E6BF4"/>
    <w:rsid w:val="00231335"/>
    <w:rsid w:val="00233F11"/>
    <w:rsid w:val="00241739"/>
    <w:rsid w:val="002426D5"/>
    <w:rsid w:val="002524EE"/>
    <w:rsid w:val="002621D6"/>
    <w:rsid w:val="00265A15"/>
    <w:rsid w:val="00290223"/>
    <w:rsid w:val="002C7675"/>
    <w:rsid w:val="002F5477"/>
    <w:rsid w:val="00306550"/>
    <w:rsid w:val="00312C04"/>
    <w:rsid w:val="00334CEB"/>
    <w:rsid w:val="003560D2"/>
    <w:rsid w:val="00363C8F"/>
    <w:rsid w:val="00376D2C"/>
    <w:rsid w:val="00393065"/>
    <w:rsid w:val="003A1FF5"/>
    <w:rsid w:val="003A4C33"/>
    <w:rsid w:val="003B5E16"/>
    <w:rsid w:val="003C6493"/>
    <w:rsid w:val="003E2F8E"/>
    <w:rsid w:val="003F55A7"/>
    <w:rsid w:val="003F5DB5"/>
    <w:rsid w:val="003F6E7E"/>
    <w:rsid w:val="00405B50"/>
    <w:rsid w:val="00410D2C"/>
    <w:rsid w:val="00420894"/>
    <w:rsid w:val="004215EB"/>
    <w:rsid w:val="00444334"/>
    <w:rsid w:val="00450C97"/>
    <w:rsid w:val="00451FEF"/>
    <w:rsid w:val="00466C2F"/>
    <w:rsid w:val="00486FF9"/>
    <w:rsid w:val="0049187D"/>
    <w:rsid w:val="00491C5D"/>
    <w:rsid w:val="00492684"/>
    <w:rsid w:val="004A227C"/>
    <w:rsid w:val="004C1319"/>
    <w:rsid w:val="004F160B"/>
    <w:rsid w:val="005034C0"/>
    <w:rsid w:val="00511F7E"/>
    <w:rsid w:val="005173CE"/>
    <w:rsid w:val="0053142A"/>
    <w:rsid w:val="005452B9"/>
    <w:rsid w:val="005476E3"/>
    <w:rsid w:val="00583BC3"/>
    <w:rsid w:val="005A188C"/>
    <w:rsid w:val="005A1B84"/>
    <w:rsid w:val="005C4667"/>
    <w:rsid w:val="005C5648"/>
    <w:rsid w:val="00625028"/>
    <w:rsid w:val="00627F7D"/>
    <w:rsid w:val="006612DC"/>
    <w:rsid w:val="00672D41"/>
    <w:rsid w:val="006B3824"/>
    <w:rsid w:val="006D6C5D"/>
    <w:rsid w:val="006D745E"/>
    <w:rsid w:val="006E2CE0"/>
    <w:rsid w:val="006E4A9F"/>
    <w:rsid w:val="006F06AC"/>
    <w:rsid w:val="007207FF"/>
    <w:rsid w:val="007268F7"/>
    <w:rsid w:val="00731C19"/>
    <w:rsid w:val="00734E94"/>
    <w:rsid w:val="00760C4E"/>
    <w:rsid w:val="00764FB5"/>
    <w:rsid w:val="00771371"/>
    <w:rsid w:val="00774A49"/>
    <w:rsid w:val="007B4E7D"/>
    <w:rsid w:val="007C0813"/>
    <w:rsid w:val="007C6EFB"/>
    <w:rsid w:val="007D3105"/>
    <w:rsid w:val="007E2F28"/>
    <w:rsid w:val="0085550B"/>
    <w:rsid w:val="00862CB5"/>
    <w:rsid w:val="00883638"/>
    <w:rsid w:val="008B05B8"/>
    <w:rsid w:val="008C5788"/>
    <w:rsid w:val="008C6DD2"/>
    <w:rsid w:val="008E5BC5"/>
    <w:rsid w:val="008E5C85"/>
    <w:rsid w:val="008F35CC"/>
    <w:rsid w:val="00904B23"/>
    <w:rsid w:val="009210C0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55035"/>
    <w:rsid w:val="00A94FC4"/>
    <w:rsid w:val="00AC297F"/>
    <w:rsid w:val="00AC4AFE"/>
    <w:rsid w:val="00AE142B"/>
    <w:rsid w:val="00B00CDB"/>
    <w:rsid w:val="00B25D4D"/>
    <w:rsid w:val="00B45112"/>
    <w:rsid w:val="00B5585D"/>
    <w:rsid w:val="00B71405"/>
    <w:rsid w:val="00B75DC9"/>
    <w:rsid w:val="00B9383D"/>
    <w:rsid w:val="00B94321"/>
    <w:rsid w:val="00B95FCB"/>
    <w:rsid w:val="00B96080"/>
    <w:rsid w:val="00BA00BE"/>
    <w:rsid w:val="00BA7096"/>
    <w:rsid w:val="00BE2257"/>
    <w:rsid w:val="00C02989"/>
    <w:rsid w:val="00C04A09"/>
    <w:rsid w:val="00C076C7"/>
    <w:rsid w:val="00C126AB"/>
    <w:rsid w:val="00C13313"/>
    <w:rsid w:val="00C163E2"/>
    <w:rsid w:val="00C75A17"/>
    <w:rsid w:val="00C81666"/>
    <w:rsid w:val="00C83434"/>
    <w:rsid w:val="00C83EAA"/>
    <w:rsid w:val="00C92F31"/>
    <w:rsid w:val="00C93F0D"/>
    <w:rsid w:val="00CA6625"/>
    <w:rsid w:val="00CB0819"/>
    <w:rsid w:val="00CB1A7C"/>
    <w:rsid w:val="00CB4058"/>
    <w:rsid w:val="00CC2A58"/>
    <w:rsid w:val="00CC5B40"/>
    <w:rsid w:val="00CE3F90"/>
    <w:rsid w:val="00D01F6B"/>
    <w:rsid w:val="00D0313F"/>
    <w:rsid w:val="00D07879"/>
    <w:rsid w:val="00D1756D"/>
    <w:rsid w:val="00D65CBB"/>
    <w:rsid w:val="00D67B56"/>
    <w:rsid w:val="00D77F13"/>
    <w:rsid w:val="00D851F6"/>
    <w:rsid w:val="00DD2BD8"/>
    <w:rsid w:val="00DD44E5"/>
    <w:rsid w:val="00E04B24"/>
    <w:rsid w:val="00E07ED9"/>
    <w:rsid w:val="00E25473"/>
    <w:rsid w:val="00E411D1"/>
    <w:rsid w:val="00E428B7"/>
    <w:rsid w:val="00E43BB4"/>
    <w:rsid w:val="00E5095B"/>
    <w:rsid w:val="00E57E61"/>
    <w:rsid w:val="00E95E10"/>
    <w:rsid w:val="00EA1E33"/>
    <w:rsid w:val="00EA3EA5"/>
    <w:rsid w:val="00EB1AD4"/>
    <w:rsid w:val="00EB489A"/>
    <w:rsid w:val="00EB515D"/>
    <w:rsid w:val="00F23F2F"/>
    <w:rsid w:val="00F31351"/>
    <w:rsid w:val="00F31B06"/>
    <w:rsid w:val="00F43581"/>
    <w:rsid w:val="00F4530F"/>
    <w:rsid w:val="00F45B22"/>
    <w:rsid w:val="00F54466"/>
    <w:rsid w:val="00F8198A"/>
    <w:rsid w:val="00F908F6"/>
    <w:rsid w:val="00F919C7"/>
    <w:rsid w:val="00F95583"/>
    <w:rsid w:val="00F974C6"/>
    <w:rsid w:val="00FB4399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link w:val="FootnoteText"/>
    <w:uiPriority w:val="99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Pr>
      <w:rFonts w:eastAsia="Times New Roman"/>
      <w:i/>
      <w:iCs/>
      <w:sz w:val="16"/>
      <w:szCs w:val="16"/>
    </w:rPr>
  </w:style>
  <w:style w:type="character" w:customStyle="1" w:styleId="Heading6Char">
    <w:name w:val="Heading 6 Char"/>
    <w:link w:val="Heading6"/>
    <w:uiPriority w:val="99"/>
    <w:rPr>
      <w:rFonts w:eastAsia="Times New Roman"/>
      <w:i/>
      <w:iCs/>
      <w:sz w:val="16"/>
      <w:szCs w:val="16"/>
    </w:rPr>
  </w:style>
  <w:style w:type="character" w:customStyle="1" w:styleId="Heading5Char">
    <w:name w:val="Heading 5 Char"/>
    <w:link w:val="Heading5"/>
    <w:uiPriority w:val="99"/>
    <w:rPr>
      <w:rFonts w:eastAsia="Times New Roman"/>
      <w:sz w:val="18"/>
      <w:szCs w:val="18"/>
    </w:rPr>
  </w:style>
  <w:style w:type="character" w:customStyle="1" w:styleId="Heading4Char">
    <w:name w:val="Heading 4 Char"/>
    <w:link w:val="Heading4"/>
    <w:uiPriority w:val="99"/>
    <w:rPr>
      <w:rFonts w:eastAsia="Times New Roman"/>
      <w:i/>
      <w:iCs/>
      <w:sz w:val="18"/>
      <w:szCs w:val="18"/>
    </w:rPr>
  </w:style>
  <w:style w:type="character" w:customStyle="1" w:styleId="Heading2Char">
    <w:name w:val="Heading 2 Char"/>
    <w:link w:val="Heading2"/>
    <w:uiPriority w:val="99"/>
    <w:rPr>
      <w:rFonts w:eastAsia="Times New Roman"/>
      <w:i/>
      <w:iCs/>
    </w:rPr>
  </w:style>
  <w:style w:type="character" w:customStyle="1" w:styleId="Heading1Char">
    <w:name w:val="Heading 1 Char"/>
    <w:link w:val="Heading1"/>
    <w:uiPriority w:val="99"/>
    <w:rPr>
      <w:rFonts w:eastAsia="Times New Roman"/>
      <w:smallCaps/>
      <w:kern w:val="28"/>
    </w:rPr>
  </w:style>
  <w:style w:type="character" w:customStyle="1" w:styleId="Heading9Char">
    <w:name w:val="Heading 9 Char"/>
    <w:link w:val="Heading9"/>
    <w:uiPriority w:val="99"/>
    <w:rPr>
      <w:rFonts w:eastAsia="Times New Roman"/>
      <w:sz w:val="16"/>
      <w:szCs w:val="16"/>
    </w:rPr>
  </w:style>
  <w:style w:type="character" w:customStyle="1" w:styleId="Heading7Char">
    <w:name w:val="Heading 7 Char"/>
    <w:link w:val="Heading7"/>
    <w:uiPriority w:val="99"/>
    <w:rPr>
      <w:rFonts w:eastAsia="Times New Roman"/>
      <w:sz w:val="16"/>
      <w:szCs w:val="16"/>
    </w:rPr>
  </w:style>
  <w:style w:type="character" w:customStyle="1" w:styleId="Heading3Char">
    <w:name w:val="Heading 3 Char"/>
    <w:link w:val="Heading3"/>
    <w:uiPriority w:val="99"/>
    <w:rPr>
      <w:rFonts w:eastAsia="Times New Roman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BAuthorName">
    <w:name w:val="BB_Author_Name"/>
    <w:basedOn w:val="Normal"/>
    <w:next w:val="Normal"/>
    <w:uiPriority w:val="99"/>
    <w:pPr>
      <w:spacing w:after="240" w:line="480" w:lineRule="auto"/>
      <w:jc w:val="center"/>
    </w:pPr>
    <w:rPr>
      <w:rFonts w:ascii="Times" w:eastAsia="Times New Roman" w:hAnsi="Times"/>
      <w:i/>
      <w:szCs w:val="20"/>
      <w:lang w:eastAsia="en-US"/>
    </w:rPr>
  </w:style>
  <w:style w:type="paragraph" w:customStyle="1" w:styleId="TableTitle">
    <w:name w:val="Table Title"/>
    <w:basedOn w:val="Normal"/>
    <w:uiPriority w:val="99"/>
    <w:pPr>
      <w:jc w:val="center"/>
    </w:pPr>
    <w:rPr>
      <w:rFonts w:eastAsia="Times New Roman"/>
      <w:smallCap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ind w:firstLine="202"/>
      <w:jc w:val="both"/>
    </w:pPr>
    <w:rPr>
      <w:rFonts w:eastAsia="Times New Roman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uiPriority w:val="99"/>
    <w:pPr>
      <w:jc w:val="center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link w:val="FootnoteText"/>
    <w:uiPriority w:val="99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Pr>
      <w:rFonts w:eastAsia="Times New Roman"/>
      <w:i/>
      <w:iCs/>
      <w:sz w:val="16"/>
      <w:szCs w:val="16"/>
    </w:rPr>
  </w:style>
  <w:style w:type="character" w:customStyle="1" w:styleId="Heading6Char">
    <w:name w:val="Heading 6 Char"/>
    <w:link w:val="Heading6"/>
    <w:uiPriority w:val="99"/>
    <w:rPr>
      <w:rFonts w:eastAsia="Times New Roman"/>
      <w:i/>
      <w:iCs/>
      <w:sz w:val="16"/>
      <w:szCs w:val="16"/>
    </w:rPr>
  </w:style>
  <w:style w:type="character" w:customStyle="1" w:styleId="Heading5Char">
    <w:name w:val="Heading 5 Char"/>
    <w:link w:val="Heading5"/>
    <w:uiPriority w:val="99"/>
    <w:rPr>
      <w:rFonts w:eastAsia="Times New Roman"/>
      <w:sz w:val="18"/>
      <w:szCs w:val="18"/>
    </w:rPr>
  </w:style>
  <w:style w:type="character" w:customStyle="1" w:styleId="Heading4Char">
    <w:name w:val="Heading 4 Char"/>
    <w:link w:val="Heading4"/>
    <w:uiPriority w:val="99"/>
    <w:rPr>
      <w:rFonts w:eastAsia="Times New Roman"/>
      <w:i/>
      <w:iCs/>
      <w:sz w:val="18"/>
      <w:szCs w:val="18"/>
    </w:rPr>
  </w:style>
  <w:style w:type="character" w:customStyle="1" w:styleId="Heading2Char">
    <w:name w:val="Heading 2 Char"/>
    <w:link w:val="Heading2"/>
    <w:uiPriority w:val="99"/>
    <w:rPr>
      <w:rFonts w:eastAsia="Times New Roman"/>
      <w:i/>
      <w:iCs/>
    </w:rPr>
  </w:style>
  <w:style w:type="character" w:customStyle="1" w:styleId="Heading1Char">
    <w:name w:val="Heading 1 Char"/>
    <w:link w:val="Heading1"/>
    <w:uiPriority w:val="99"/>
    <w:rPr>
      <w:rFonts w:eastAsia="Times New Roman"/>
      <w:smallCaps/>
      <w:kern w:val="28"/>
    </w:rPr>
  </w:style>
  <w:style w:type="character" w:customStyle="1" w:styleId="Heading9Char">
    <w:name w:val="Heading 9 Char"/>
    <w:link w:val="Heading9"/>
    <w:uiPriority w:val="99"/>
    <w:rPr>
      <w:rFonts w:eastAsia="Times New Roman"/>
      <w:sz w:val="16"/>
      <w:szCs w:val="16"/>
    </w:rPr>
  </w:style>
  <w:style w:type="character" w:customStyle="1" w:styleId="Heading7Char">
    <w:name w:val="Heading 7 Char"/>
    <w:link w:val="Heading7"/>
    <w:uiPriority w:val="99"/>
    <w:rPr>
      <w:rFonts w:eastAsia="Times New Roman"/>
      <w:sz w:val="16"/>
      <w:szCs w:val="16"/>
    </w:rPr>
  </w:style>
  <w:style w:type="character" w:customStyle="1" w:styleId="Heading3Char">
    <w:name w:val="Heading 3 Char"/>
    <w:link w:val="Heading3"/>
    <w:uiPriority w:val="99"/>
    <w:rPr>
      <w:rFonts w:eastAsia="Times New Roman"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BAuthorName">
    <w:name w:val="BB_Author_Name"/>
    <w:basedOn w:val="Normal"/>
    <w:next w:val="Normal"/>
    <w:uiPriority w:val="99"/>
    <w:pPr>
      <w:spacing w:after="240" w:line="480" w:lineRule="auto"/>
      <w:jc w:val="center"/>
    </w:pPr>
    <w:rPr>
      <w:rFonts w:ascii="Times" w:eastAsia="Times New Roman" w:hAnsi="Times"/>
      <w:i/>
      <w:szCs w:val="20"/>
      <w:lang w:eastAsia="en-US"/>
    </w:rPr>
  </w:style>
  <w:style w:type="paragraph" w:customStyle="1" w:styleId="TableTitle">
    <w:name w:val="Table Title"/>
    <w:basedOn w:val="Normal"/>
    <w:uiPriority w:val="99"/>
    <w:pPr>
      <w:jc w:val="center"/>
    </w:pPr>
    <w:rPr>
      <w:rFonts w:eastAsia="Times New Roman"/>
      <w:smallCaps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ind w:firstLine="202"/>
      <w:jc w:val="both"/>
    </w:pPr>
    <w:rPr>
      <w:rFonts w:eastAsia="Times New Roman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uiPriority w:val="99"/>
    <w:pPr>
      <w:jc w:val="center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</Template>
  <TotalTime>1</TotalTime>
  <Pages>1</Pages>
  <Words>496</Words>
  <Characters>2832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2010-10-02T13:54:00Z</cp:lastPrinted>
  <dcterms:created xsi:type="dcterms:W3CDTF">2016-02-10T16:05:00Z</dcterms:created>
  <dcterms:modified xsi:type="dcterms:W3CDTF">2016-02-10T16:06:00Z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22255</vt:lpwstr>
  </property>
  <property fmtid="{D5CDD505-2E9C-101B-9397-08002B2CF9AE}" pid="3" name="WnCSubscriberId">
    <vt:lpwstr>2075</vt:lpwstr>
  </property>
  <property fmtid="{D5CDD505-2E9C-101B-9397-08002B2CF9AE}" pid="4" name="WnCOutputStyleId">
    <vt:lpwstr>10316</vt:lpwstr>
  </property>
  <property fmtid="{D5CDD505-2E9C-101B-9397-08002B2CF9AE}" pid="5" name="RWProductId">
    <vt:lpwstr>WnC</vt:lpwstr>
  </property>
  <property fmtid="{D5CDD505-2E9C-101B-9397-08002B2CF9AE}" pid="6" name="WnC4Folder">
    <vt:lpwstr>Documents///ABetaReport2014(1)</vt:lpwstr>
  </property>
  <property fmtid="{D5CDD505-2E9C-101B-9397-08002B2CF9AE}" pid="7" name="KSOProductBuildVer">
    <vt:lpwstr>1033-9.1.0.4945</vt:lpwstr>
  </property>
</Properties>
</file>