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BD" w:rsidRDefault="00114BFF" w:rsidP="006C4440">
      <w:pPr>
        <w:tabs>
          <w:tab w:val="left" w:pos="360"/>
        </w:tabs>
        <w:jc w:val="center"/>
        <w:rPr>
          <w:rFonts w:ascii="Arial" w:hAnsi="Arial" w:cs="Arial"/>
          <w:b/>
        </w:rPr>
      </w:pPr>
      <w:r>
        <w:rPr>
          <w:rFonts w:ascii="Arial" w:hAnsi="Arial" w:cs="Arial"/>
          <w:b/>
        </w:rPr>
        <w:t xml:space="preserve">Evaluation of an Intervention using Metabolomics in a </w:t>
      </w:r>
    </w:p>
    <w:p w:rsidR="00C75A17" w:rsidRPr="00D65CBB" w:rsidRDefault="00114BFF" w:rsidP="006C4440">
      <w:pPr>
        <w:tabs>
          <w:tab w:val="left" w:pos="360"/>
        </w:tabs>
        <w:jc w:val="center"/>
        <w:rPr>
          <w:rFonts w:ascii="Arial" w:hAnsi="Arial" w:cs="Arial"/>
          <w:b/>
        </w:rPr>
      </w:pPr>
      <w:r>
        <w:rPr>
          <w:rFonts w:ascii="Arial" w:hAnsi="Arial" w:cs="Arial"/>
          <w:b/>
        </w:rPr>
        <w:t>Rat Model of Myocardial Autophagy</w:t>
      </w:r>
    </w:p>
    <w:p w:rsidR="003E2F8E" w:rsidRPr="006B3824" w:rsidRDefault="003E2F8E" w:rsidP="0049187D">
      <w:pPr>
        <w:tabs>
          <w:tab w:val="left" w:pos="360"/>
        </w:tabs>
        <w:rPr>
          <w:rFonts w:ascii="Arial" w:hAnsi="Arial" w:cs="Arial"/>
          <w:sz w:val="20"/>
          <w:szCs w:val="20"/>
        </w:rPr>
      </w:pPr>
    </w:p>
    <w:p w:rsidR="00A94FC4" w:rsidRPr="006B3824" w:rsidRDefault="00FC100E" w:rsidP="009E5651">
      <w:pPr>
        <w:tabs>
          <w:tab w:val="left" w:pos="360"/>
        </w:tabs>
        <w:rPr>
          <w:rFonts w:ascii="Arial" w:hAnsi="Arial" w:cs="Arial"/>
          <w:sz w:val="20"/>
          <w:szCs w:val="20"/>
        </w:rPr>
      </w:pPr>
      <w:r w:rsidRPr="00FC100E">
        <w:rPr>
          <w:rFonts w:ascii="Arial" w:hAnsi="Arial" w:cs="Arial"/>
          <w:sz w:val="20"/>
          <w:szCs w:val="20"/>
          <w:u w:val="single"/>
        </w:rPr>
        <w:t>Dutta</w:t>
      </w:r>
      <w:r w:rsidR="009E5651">
        <w:rPr>
          <w:rFonts w:ascii="Arial" w:hAnsi="Arial" w:cs="Arial"/>
          <w:sz w:val="20"/>
          <w:szCs w:val="20"/>
          <w:u w:val="single"/>
        </w:rPr>
        <w:t>, D.</w:t>
      </w:r>
      <w:r w:rsidRPr="00FC100E">
        <w:rPr>
          <w:rFonts w:ascii="Arial" w:hAnsi="Arial" w:cs="Arial"/>
          <w:sz w:val="20"/>
          <w:szCs w:val="20"/>
        </w:rPr>
        <w:t xml:space="preserve"> </w:t>
      </w:r>
      <w:r w:rsidR="009E5651">
        <w:rPr>
          <w:rFonts w:ascii="Arial" w:hAnsi="Arial" w:cs="Arial"/>
          <w:sz w:val="20"/>
          <w:szCs w:val="20"/>
        </w:rPr>
        <w:t>(</w:t>
      </w:r>
      <w:r w:rsidRPr="00FC100E">
        <w:rPr>
          <w:rFonts w:ascii="Arial" w:hAnsi="Arial" w:cs="Arial"/>
          <w:sz w:val="20"/>
          <w:szCs w:val="20"/>
        </w:rPr>
        <w:t>Howard Hughes Medical Institute, University of Illinois, Urbana, IL</w:t>
      </w:r>
      <w:r w:rsidR="009E5651">
        <w:rPr>
          <w:rFonts w:ascii="Arial" w:hAnsi="Arial" w:cs="Arial"/>
          <w:sz w:val="20"/>
          <w:szCs w:val="20"/>
        </w:rPr>
        <w:t>) a</w:t>
      </w:r>
      <w:r w:rsidRPr="00FC100E">
        <w:rPr>
          <w:rFonts w:ascii="Arial" w:hAnsi="Arial" w:cs="Arial"/>
          <w:sz w:val="20"/>
          <w:szCs w:val="20"/>
        </w:rPr>
        <w:t xml:space="preserve">nd </w:t>
      </w:r>
      <w:r w:rsidR="009E5651">
        <w:rPr>
          <w:rFonts w:ascii="Arial" w:hAnsi="Arial" w:cs="Arial"/>
          <w:sz w:val="20"/>
          <w:szCs w:val="20"/>
        </w:rPr>
        <w:t>Plant, D. (McKnight Brain Institute</w:t>
      </w:r>
      <w:r w:rsidRPr="00FC100E">
        <w:rPr>
          <w:rFonts w:ascii="Arial" w:hAnsi="Arial" w:cs="Arial"/>
          <w:sz w:val="20"/>
          <w:szCs w:val="20"/>
        </w:rPr>
        <w:t>, University of Florida, Gain</w:t>
      </w:r>
      <w:r w:rsidR="009E5651">
        <w:rPr>
          <w:rFonts w:ascii="Arial" w:hAnsi="Arial" w:cs="Arial"/>
          <w:sz w:val="20"/>
          <w:szCs w:val="20"/>
        </w:rPr>
        <w:t>esville, FL)</w:t>
      </w:r>
    </w:p>
    <w:p w:rsidR="00A94FC4" w:rsidRPr="006B3824" w:rsidRDefault="00A94FC4" w:rsidP="0049187D">
      <w:pPr>
        <w:pBdr>
          <w:bottom w:val="single" w:sz="12" w:space="1" w:color="auto"/>
        </w:pBdr>
        <w:tabs>
          <w:tab w:val="left" w:pos="360"/>
        </w:tabs>
        <w:rPr>
          <w:rFonts w:ascii="Arial" w:hAnsi="Arial" w:cs="Arial"/>
          <w:sz w:val="20"/>
          <w:szCs w:val="20"/>
        </w:rPr>
      </w:pPr>
    </w:p>
    <w:p w:rsidR="00A94FC4" w:rsidRPr="006B3824" w:rsidRDefault="00A94FC4" w:rsidP="0049187D">
      <w:pPr>
        <w:tabs>
          <w:tab w:val="left" w:pos="360"/>
        </w:tabs>
        <w:rPr>
          <w:rFonts w:ascii="Arial" w:hAnsi="Arial" w:cs="Arial"/>
          <w:sz w:val="20"/>
          <w:szCs w:val="20"/>
        </w:rPr>
      </w:pPr>
    </w:p>
    <w:p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rsidR="009E5651" w:rsidRPr="009E5651" w:rsidRDefault="006B3824" w:rsidP="009E5651">
      <w:pPr>
        <w:tabs>
          <w:tab w:val="left" w:pos="360"/>
        </w:tabs>
        <w:rPr>
          <w:rFonts w:ascii="Arial" w:hAnsi="Arial" w:cs="Arial"/>
          <w:sz w:val="20"/>
          <w:szCs w:val="20"/>
        </w:rPr>
      </w:pPr>
      <w:r w:rsidRPr="006B3824">
        <w:rPr>
          <w:rFonts w:ascii="Arial" w:hAnsi="Arial" w:cs="Arial"/>
          <w:sz w:val="20"/>
          <w:szCs w:val="20"/>
        </w:rPr>
        <w:tab/>
      </w:r>
      <w:r w:rsidR="009E5651" w:rsidRPr="009E5651">
        <w:rPr>
          <w:rFonts w:ascii="Arial" w:hAnsi="Arial" w:cs="Arial"/>
          <w:sz w:val="20"/>
          <w:szCs w:val="20"/>
        </w:rPr>
        <w:t>To investigate whether metabolomics using NMR in a validated rat model can distinguish between a control group and a group receiving a dietary or therapeutic intervention. Preliminary data indicates the ability to detect and identify key lipid, carbohydrate, and amino acid components of the rat serum sample which would make it possible to understand the mechanism of myocardial autophagy.</w:t>
      </w:r>
      <w:r w:rsidR="007A74CF">
        <w:rPr>
          <w:rFonts w:ascii="Arial" w:hAnsi="Arial" w:cs="Arial"/>
          <w:sz w:val="20"/>
          <w:szCs w:val="20"/>
        </w:rPr>
        <w:t xml:space="preserve"> </w:t>
      </w:r>
      <w:r w:rsidR="009E5651" w:rsidRPr="009E5651">
        <w:rPr>
          <w:rFonts w:ascii="Arial" w:hAnsi="Arial" w:cs="Arial"/>
          <w:sz w:val="20"/>
          <w:szCs w:val="20"/>
        </w:rPr>
        <w:t xml:space="preserve">A mild Caloric Restrictive diet regimen and the plant polyphenol resveratrol have shown numerous </w:t>
      </w:r>
      <w:proofErr w:type="spellStart"/>
      <w:r w:rsidR="009E5651" w:rsidRPr="009E5651">
        <w:rPr>
          <w:rFonts w:ascii="Arial" w:hAnsi="Arial" w:cs="Arial"/>
          <w:sz w:val="20"/>
          <w:szCs w:val="20"/>
        </w:rPr>
        <w:t>cardioprotective</w:t>
      </w:r>
      <w:proofErr w:type="spellEnd"/>
      <w:r w:rsidR="009E5651" w:rsidRPr="009E5651">
        <w:rPr>
          <w:rFonts w:ascii="Arial" w:hAnsi="Arial" w:cs="Arial"/>
          <w:sz w:val="20"/>
          <w:szCs w:val="20"/>
        </w:rPr>
        <w:t xml:space="preserve"> effects in experimental animal models and in controlled clinical trials. Therefore, combining these two interventions might provide additional </w:t>
      </w:r>
      <w:proofErr w:type="spellStart"/>
      <w:r w:rsidR="009E5651" w:rsidRPr="009E5651">
        <w:rPr>
          <w:rFonts w:ascii="Arial" w:hAnsi="Arial" w:cs="Arial"/>
          <w:sz w:val="20"/>
          <w:szCs w:val="20"/>
        </w:rPr>
        <w:t>cardioprotective</w:t>
      </w:r>
      <w:proofErr w:type="spellEnd"/>
      <w:r w:rsidR="009E5651" w:rsidRPr="009E5651">
        <w:rPr>
          <w:rFonts w:ascii="Arial" w:hAnsi="Arial" w:cs="Arial"/>
          <w:sz w:val="20"/>
          <w:szCs w:val="20"/>
        </w:rPr>
        <w:t xml:space="preserve"> effects. Although their exact mechanism is still a matter of debate, our previous results suggest that an induction of myocardial autophagy is at least partially responsible for the beneficial effects (1).</w:t>
      </w:r>
      <w:r w:rsidR="009A0D82">
        <w:rPr>
          <w:rFonts w:ascii="Arial" w:hAnsi="Arial" w:cs="Arial"/>
          <w:sz w:val="20"/>
          <w:szCs w:val="20"/>
        </w:rPr>
        <w:t xml:space="preserve"> </w:t>
      </w:r>
      <w:r w:rsidR="009E5651" w:rsidRPr="009E5651">
        <w:rPr>
          <w:rFonts w:ascii="Arial" w:hAnsi="Arial" w:cs="Arial"/>
          <w:sz w:val="20"/>
          <w:szCs w:val="20"/>
        </w:rPr>
        <w:t>Although metabolomics using NMR for understanding mammalian system biology is still being developed, it promises to be not only be useful for detecting biomarkers of disease for early diagnosis and assessment of treatments but may help to understand the mechanisms by which these metabolites are altered.</w:t>
      </w:r>
    </w:p>
    <w:p w:rsidR="00B75DC9" w:rsidRDefault="00B75DC9" w:rsidP="0049187D">
      <w:pPr>
        <w:tabs>
          <w:tab w:val="left" w:pos="360"/>
        </w:tabs>
        <w:rPr>
          <w:rFonts w:ascii="Arial" w:hAnsi="Arial" w:cs="Arial"/>
          <w:b/>
          <w:sz w:val="20"/>
          <w:szCs w:val="20"/>
        </w:rPr>
      </w:pPr>
    </w:p>
    <w:p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p>
    <w:p w:rsidR="009E5651" w:rsidRDefault="006B3824" w:rsidP="009E5651">
      <w:pPr>
        <w:tabs>
          <w:tab w:val="left" w:pos="360"/>
        </w:tabs>
        <w:rPr>
          <w:rFonts w:ascii="Arial" w:hAnsi="Arial" w:cs="Arial"/>
          <w:sz w:val="20"/>
          <w:szCs w:val="20"/>
        </w:rPr>
      </w:pPr>
      <w:r>
        <w:rPr>
          <w:rFonts w:ascii="Arial" w:hAnsi="Arial" w:cs="Arial"/>
          <w:sz w:val="20"/>
          <w:szCs w:val="20"/>
        </w:rPr>
        <w:tab/>
      </w:r>
      <w:r w:rsidR="00B666EA" w:rsidRPr="009E5651">
        <w:rPr>
          <w:rFonts w:ascii="Arial" w:hAnsi="Arial" w:cs="Arial"/>
          <w:sz w:val="20"/>
          <w:szCs w:val="20"/>
        </w:rPr>
        <w:t xml:space="preserve">A major goal is to measure critical metabolites known to be altered in mitochondrial dysfunction and to establish a baseline by which to evaluate future interventions. </w:t>
      </w:r>
      <w:r w:rsidR="00B666EA">
        <w:rPr>
          <w:rFonts w:ascii="Arial" w:hAnsi="Arial" w:cs="Arial"/>
          <w:sz w:val="20"/>
          <w:szCs w:val="20"/>
        </w:rPr>
        <w:t>A total of 12 animals for each of the 3 groups will be analyzed.</w:t>
      </w:r>
      <w:r w:rsidR="009E5651" w:rsidRPr="009E5651">
        <w:rPr>
          <w:rFonts w:ascii="Arial" w:hAnsi="Arial" w:cs="Arial"/>
          <w:sz w:val="20"/>
          <w:szCs w:val="20"/>
        </w:rPr>
        <w:t xml:space="preserve"> The serum samples have already been collected for a previous study and are stored at -80 C. Standard protocols for sample preparation will be used (2).  Proton </w:t>
      </w:r>
      <w:r w:rsidR="00904EBE">
        <w:rPr>
          <w:rFonts w:ascii="Arial" w:hAnsi="Arial" w:cs="Arial"/>
          <w:sz w:val="20"/>
          <w:szCs w:val="20"/>
        </w:rPr>
        <w:t>NMR spectra are</w:t>
      </w:r>
      <w:r w:rsidR="009E5651" w:rsidRPr="009E5651">
        <w:rPr>
          <w:rFonts w:ascii="Arial" w:hAnsi="Arial" w:cs="Arial"/>
          <w:sz w:val="20"/>
          <w:szCs w:val="20"/>
        </w:rPr>
        <w:t xml:space="preserve"> acquired on the 600 MHz Bruker </w:t>
      </w:r>
      <w:proofErr w:type="spellStart"/>
      <w:r w:rsidR="009E5651" w:rsidRPr="009E5651">
        <w:rPr>
          <w:rFonts w:ascii="Arial" w:hAnsi="Arial" w:cs="Arial"/>
          <w:sz w:val="20"/>
          <w:szCs w:val="20"/>
        </w:rPr>
        <w:t>Avance</w:t>
      </w:r>
      <w:proofErr w:type="spellEnd"/>
      <w:r w:rsidR="009E5651" w:rsidRPr="009E5651">
        <w:rPr>
          <w:rFonts w:ascii="Arial" w:hAnsi="Arial" w:cs="Arial"/>
          <w:sz w:val="20"/>
          <w:szCs w:val="20"/>
        </w:rPr>
        <w:t xml:space="preserve"> III NMR system using a standard 5mm Broadband probe. Proton 1D Pre-saturation-NOESY, 2D TOCSY, J-Resolved and </w:t>
      </w:r>
      <w:proofErr w:type="gramStart"/>
      <w:r w:rsidR="009E5651" w:rsidRPr="009E5651">
        <w:rPr>
          <w:rFonts w:ascii="Arial" w:hAnsi="Arial" w:cs="Arial"/>
          <w:sz w:val="20"/>
          <w:szCs w:val="20"/>
        </w:rPr>
        <w:t>1H{</w:t>
      </w:r>
      <w:proofErr w:type="gramEnd"/>
      <w:r w:rsidR="009E5651" w:rsidRPr="009E5651">
        <w:rPr>
          <w:rFonts w:ascii="Arial" w:hAnsi="Arial" w:cs="Arial"/>
          <w:sz w:val="20"/>
          <w:szCs w:val="20"/>
          <w:vertAlign w:val="superscript"/>
        </w:rPr>
        <w:t>13</w:t>
      </w:r>
      <w:r w:rsidR="009E5651">
        <w:rPr>
          <w:rFonts w:ascii="Arial" w:hAnsi="Arial" w:cs="Arial"/>
          <w:sz w:val="20"/>
          <w:szCs w:val="20"/>
        </w:rPr>
        <w:t>C} HSQC experiments were</w:t>
      </w:r>
      <w:r w:rsidR="009E5651" w:rsidRPr="009E5651">
        <w:rPr>
          <w:rFonts w:ascii="Arial" w:hAnsi="Arial" w:cs="Arial"/>
          <w:sz w:val="20"/>
          <w:szCs w:val="20"/>
        </w:rPr>
        <w:t xml:space="preserve"> collected </w:t>
      </w:r>
      <w:r w:rsidR="00904EBE">
        <w:rPr>
          <w:rFonts w:ascii="Arial" w:hAnsi="Arial" w:cs="Arial"/>
          <w:sz w:val="20"/>
          <w:szCs w:val="20"/>
        </w:rPr>
        <w:t>to assist in identifying the principal components. The data were</w:t>
      </w:r>
      <w:r w:rsidR="009E5651" w:rsidRPr="009E5651">
        <w:rPr>
          <w:rFonts w:ascii="Arial" w:hAnsi="Arial" w:cs="Arial"/>
          <w:sz w:val="20"/>
          <w:szCs w:val="20"/>
        </w:rPr>
        <w:t xml:space="preserve"> collected using </w:t>
      </w:r>
      <w:proofErr w:type="spellStart"/>
      <w:r w:rsidR="009E5651" w:rsidRPr="009E5651">
        <w:rPr>
          <w:rFonts w:ascii="Arial" w:hAnsi="Arial" w:cs="Arial"/>
          <w:sz w:val="20"/>
          <w:szCs w:val="20"/>
        </w:rPr>
        <w:t>TopSpin</w:t>
      </w:r>
      <w:proofErr w:type="spellEnd"/>
      <w:r w:rsidR="009E5651" w:rsidRPr="009E5651">
        <w:rPr>
          <w:rFonts w:ascii="Arial" w:hAnsi="Arial" w:cs="Arial"/>
          <w:sz w:val="20"/>
          <w:szCs w:val="20"/>
        </w:rPr>
        <w:t xml:space="preserve"> version 3.2.5 (Bruker </w:t>
      </w:r>
      <w:proofErr w:type="spellStart"/>
      <w:r w:rsidR="009E5651" w:rsidRPr="009E5651">
        <w:rPr>
          <w:rFonts w:ascii="Arial" w:hAnsi="Arial" w:cs="Arial"/>
          <w:sz w:val="20"/>
          <w:szCs w:val="20"/>
        </w:rPr>
        <w:t>Biospin</w:t>
      </w:r>
      <w:proofErr w:type="spellEnd"/>
      <w:r w:rsidR="00904EBE">
        <w:rPr>
          <w:rFonts w:ascii="Arial" w:hAnsi="Arial" w:cs="Arial"/>
          <w:sz w:val="20"/>
          <w:szCs w:val="20"/>
        </w:rPr>
        <w:t>) and the spectra are</w:t>
      </w:r>
      <w:r w:rsidR="009E5651" w:rsidRPr="009E5651">
        <w:rPr>
          <w:rFonts w:ascii="Arial" w:hAnsi="Arial" w:cs="Arial"/>
          <w:sz w:val="20"/>
          <w:szCs w:val="20"/>
        </w:rPr>
        <w:t xml:space="preserve"> binned using the AMIX 3.9 routines native to </w:t>
      </w:r>
      <w:proofErr w:type="spellStart"/>
      <w:r w:rsidR="009E5651" w:rsidRPr="009E5651">
        <w:rPr>
          <w:rFonts w:ascii="Arial" w:hAnsi="Arial" w:cs="Arial"/>
          <w:sz w:val="20"/>
          <w:szCs w:val="20"/>
        </w:rPr>
        <w:t>TopSpin</w:t>
      </w:r>
      <w:proofErr w:type="spellEnd"/>
      <w:r w:rsidR="009E5651">
        <w:rPr>
          <w:rFonts w:ascii="Arial" w:hAnsi="Arial" w:cs="Arial"/>
          <w:sz w:val="20"/>
          <w:szCs w:val="20"/>
        </w:rPr>
        <w:t>.</w:t>
      </w:r>
    </w:p>
    <w:p w:rsidR="00904EBE" w:rsidRDefault="00904EBE" w:rsidP="00904EBE">
      <w:pPr>
        <w:pStyle w:val="ListParagraph"/>
        <w:tabs>
          <w:tab w:val="left" w:pos="360"/>
        </w:tabs>
        <w:ind w:left="0"/>
        <w:rPr>
          <w:rFonts w:ascii="Arial" w:hAnsi="Arial" w:cs="Arial"/>
          <w:sz w:val="20"/>
          <w:szCs w:val="20"/>
        </w:rPr>
      </w:pPr>
      <w:r>
        <w:rPr>
          <w:noProof/>
          <w:lang w:eastAsia="en-US"/>
        </w:rPr>
        <w:drawing>
          <wp:anchor distT="0" distB="0" distL="114300" distR="114300" simplePos="0" relativeHeight="251656704" behindDoc="0" locked="0" layoutInCell="1" allowOverlap="1" wp14:anchorId="628518BB" wp14:editId="27129740">
            <wp:simplePos x="0" y="0"/>
            <wp:positionH relativeFrom="margin">
              <wp:posOffset>2492952</wp:posOffset>
            </wp:positionH>
            <wp:positionV relativeFrom="margin">
              <wp:posOffset>4493260</wp:posOffset>
            </wp:positionV>
            <wp:extent cx="1852930" cy="1543685"/>
            <wp:effectExtent l="0" t="0" r="0" b="0"/>
            <wp:wrapThrough wrapText="bothSides">
              <wp:wrapPolygon edited="0">
                <wp:start x="0" y="0"/>
                <wp:lineTo x="0" y="21325"/>
                <wp:lineTo x="21319" y="21325"/>
                <wp:lineTo x="21319"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5293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824" behindDoc="0" locked="0" layoutInCell="1" allowOverlap="1" wp14:anchorId="13E50562" wp14:editId="540C30B4">
            <wp:simplePos x="0" y="0"/>
            <wp:positionH relativeFrom="margin">
              <wp:posOffset>4360603</wp:posOffset>
            </wp:positionH>
            <wp:positionV relativeFrom="margin">
              <wp:posOffset>4499610</wp:posOffset>
            </wp:positionV>
            <wp:extent cx="1852930" cy="1544320"/>
            <wp:effectExtent l="0" t="0" r="0" b="0"/>
            <wp:wrapThrough wrapText="bothSides">
              <wp:wrapPolygon edited="0">
                <wp:start x="0" y="0"/>
                <wp:lineTo x="0" y="21316"/>
                <wp:lineTo x="21319" y="21316"/>
                <wp:lineTo x="21319"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5293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EE" w:rsidRPr="009A0D82" w:rsidRDefault="00904EBE" w:rsidP="00904EBE">
      <w:pPr>
        <w:pStyle w:val="ListParagraph"/>
        <w:tabs>
          <w:tab w:val="left" w:pos="360"/>
        </w:tabs>
        <w:ind w:left="0"/>
        <w:rPr>
          <w:rFonts w:ascii="Arial" w:hAnsi="Arial" w:cs="Arial"/>
          <w:sz w:val="20"/>
          <w:szCs w:val="20"/>
        </w:rPr>
      </w:pPr>
      <w:r>
        <w:rPr>
          <w:noProof/>
          <w:lang w:eastAsia="en-US"/>
        </w:rPr>
        <w:drawing>
          <wp:anchor distT="0" distB="0" distL="114300" distR="114300" simplePos="0" relativeHeight="251659776" behindDoc="0" locked="0" layoutInCell="1" allowOverlap="1" wp14:anchorId="58FC13F9" wp14:editId="59972932">
            <wp:simplePos x="0" y="0"/>
            <wp:positionH relativeFrom="margin">
              <wp:posOffset>52416</wp:posOffset>
            </wp:positionH>
            <wp:positionV relativeFrom="margin">
              <wp:posOffset>4493721</wp:posOffset>
            </wp:positionV>
            <wp:extent cx="2465705" cy="1565275"/>
            <wp:effectExtent l="0" t="0" r="0" b="0"/>
            <wp:wrapThrough wrapText="bothSides">
              <wp:wrapPolygon edited="0">
                <wp:start x="0" y="0"/>
                <wp:lineTo x="0" y="21293"/>
                <wp:lineTo x="21361" y="21293"/>
                <wp:lineTo x="21361"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46570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D82">
        <w:rPr>
          <w:noProof/>
          <w:lang w:eastAsia="en-US"/>
        </w:rPr>
        <mc:AlternateContent>
          <mc:Choice Requires="wps">
            <w:drawing>
              <wp:anchor distT="0" distB="0" distL="114300" distR="114300" simplePos="0" relativeHeight="251657728" behindDoc="0" locked="0" layoutInCell="1" allowOverlap="1" wp14:anchorId="17145907" wp14:editId="02A830AC">
                <wp:simplePos x="0" y="0"/>
                <wp:positionH relativeFrom="margin">
                  <wp:align>left</wp:align>
                </wp:positionH>
                <wp:positionV relativeFrom="paragraph">
                  <wp:posOffset>1744518</wp:posOffset>
                </wp:positionV>
                <wp:extent cx="6746875" cy="273050"/>
                <wp:effectExtent l="0" t="0" r="0" b="0"/>
                <wp:wrapThrough wrapText="bothSides">
                  <wp:wrapPolygon edited="0">
                    <wp:start x="0" y="0"/>
                    <wp:lineTo x="0" y="19591"/>
                    <wp:lineTo x="21529" y="19591"/>
                    <wp:lineTo x="21529"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D2C" w:rsidRPr="00376D2C" w:rsidRDefault="00376D2C" w:rsidP="00376D2C">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009A0D82">
                              <w:rPr>
                                <w:rFonts w:ascii="Arial" w:hAnsi="Arial" w:cs="Arial"/>
                                <w:sz w:val="18"/>
                                <w:szCs w:val="18"/>
                              </w:rPr>
                              <w:t>(</w:t>
                            </w:r>
                            <w:r w:rsidR="00594790" w:rsidRPr="00594790">
                              <w:rPr>
                                <w:rFonts w:ascii="Arial" w:hAnsi="Arial" w:cs="Arial"/>
                                <w:sz w:val="18"/>
                                <w:szCs w:val="18"/>
                              </w:rPr>
                              <w:t xml:space="preserve">a) </w:t>
                            </w:r>
                            <w:r w:rsidR="00594790">
                              <w:rPr>
                                <w:rFonts w:ascii="Arial" w:hAnsi="Arial" w:cs="Arial"/>
                                <w:sz w:val="18"/>
                                <w:szCs w:val="18"/>
                              </w:rPr>
                              <w:t xml:space="preserve"> </w:t>
                            </w:r>
                            <w:r w:rsidR="00594790" w:rsidRPr="00594790">
                              <w:rPr>
                                <w:rFonts w:ascii="Arial" w:hAnsi="Arial" w:cs="Arial"/>
                                <w:sz w:val="18"/>
                                <w:szCs w:val="18"/>
                                <w:vertAlign w:val="superscript"/>
                              </w:rPr>
                              <w:t>1</w:t>
                            </w:r>
                            <w:r w:rsidR="00594790" w:rsidRPr="00594790">
                              <w:rPr>
                                <w:rFonts w:ascii="Arial" w:hAnsi="Arial" w:cs="Arial"/>
                                <w:sz w:val="18"/>
                                <w:szCs w:val="18"/>
                              </w:rPr>
                              <w:t xml:space="preserve">H 1D </w:t>
                            </w:r>
                            <w:proofErr w:type="spellStart"/>
                            <w:r w:rsidR="00594790" w:rsidRPr="00594790">
                              <w:rPr>
                                <w:rFonts w:ascii="Arial" w:hAnsi="Arial" w:cs="Arial"/>
                                <w:sz w:val="18"/>
                                <w:szCs w:val="18"/>
                              </w:rPr>
                              <w:t>Presaturation</w:t>
                            </w:r>
                            <w:proofErr w:type="spellEnd"/>
                            <w:r w:rsidR="009A0D82">
                              <w:rPr>
                                <w:rFonts w:ascii="Arial" w:hAnsi="Arial" w:cs="Arial"/>
                                <w:sz w:val="18"/>
                                <w:szCs w:val="18"/>
                              </w:rPr>
                              <w:t>/J-Resolved</w:t>
                            </w:r>
                            <w:r w:rsidR="00594790" w:rsidRPr="00594790">
                              <w:rPr>
                                <w:rFonts w:ascii="Arial" w:hAnsi="Arial" w:cs="Arial"/>
                                <w:sz w:val="18"/>
                                <w:szCs w:val="18"/>
                              </w:rPr>
                              <w:t xml:space="preserve"> </w:t>
                            </w:r>
                            <w:r w:rsidR="00594790">
                              <w:rPr>
                                <w:rFonts w:ascii="Arial" w:hAnsi="Arial" w:cs="Arial"/>
                                <w:sz w:val="18"/>
                                <w:szCs w:val="18"/>
                              </w:rPr>
                              <w:t xml:space="preserve">spectrum </w:t>
                            </w:r>
                            <w:r w:rsidR="00594790" w:rsidRPr="00594790">
                              <w:rPr>
                                <w:rFonts w:ascii="Arial" w:hAnsi="Arial" w:cs="Arial"/>
                                <w:sz w:val="18"/>
                                <w:szCs w:val="18"/>
                              </w:rPr>
                              <w:t>at 600 MHz</w:t>
                            </w:r>
                            <w:r w:rsidR="009A0D82">
                              <w:rPr>
                                <w:rFonts w:ascii="Arial" w:hAnsi="Arial" w:cs="Arial"/>
                                <w:sz w:val="18"/>
                                <w:szCs w:val="18"/>
                              </w:rPr>
                              <w:t xml:space="preserve"> (b) a TOCSY spectrum and (c</w:t>
                            </w:r>
                            <w:r w:rsidR="00594790" w:rsidRPr="00594790">
                              <w:rPr>
                                <w:rFonts w:ascii="Arial" w:hAnsi="Arial" w:cs="Arial"/>
                                <w:sz w:val="18"/>
                                <w:szCs w:val="18"/>
                              </w:rPr>
                              <w:t>)</w:t>
                            </w:r>
                            <w:r w:rsidR="00594790">
                              <w:rPr>
                                <w:rFonts w:ascii="Arial" w:hAnsi="Arial" w:cs="Arial"/>
                                <w:sz w:val="18"/>
                                <w:szCs w:val="18"/>
                              </w:rPr>
                              <w:t xml:space="preserve"> a</w:t>
                            </w:r>
                            <w:r w:rsidR="00594790" w:rsidRPr="00594790">
                              <w:rPr>
                                <w:rFonts w:ascii="Arial" w:hAnsi="Arial" w:cs="Arial"/>
                                <w:sz w:val="18"/>
                                <w:szCs w:val="18"/>
                              </w:rPr>
                              <w:t xml:space="preserve"> 1H{13C} HSQC spectrum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401BC8" id="_x0000_t202" coordsize="21600,21600" o:spt="202" path="m,l,21600r21600,l21600,xe">
                <v:stroke joinstyle="miter"/>
                <v:path gradientshapeok="t" o:connecttype="rect"/>
              </v:shapetype>
              <v:shape id="Text Box 2" o:spid="_x0000_s1026" type="#_x0000_t202" style="position:absolute;margin-left:0;margin-top:137.35pt;width:531.25pt;height:21.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Fi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" stroked="f">
                <v:textbox>
                  <w:txbxContent>
                    <w:p w:rsidR="00376D2C" w:rsidRPr="00376D2C" w:rsidRDefault="00376D2C" w:rsidP="00376D2C">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009A0D82">
                        <w:rPr>
                          <w:rFonts w:ascii="Arial" w:hAnsi="Arial" w:cs="Arial"/>
                          <w:sz w:val="18"/>
                          <w:szCs w:val="18"/>
                        </w:rPr>
                        <w:t>(</w:t>
                      </w:r>
                      <w:r w:rsidR="00594790" w:rsidRPr="00594790">
                        <w:rPr>
                          <w:rFonts w:ascii="Arial" w:hAnsi="Arial" w:cs="Arial"/>
                          <w:sz w:val="18"/>
                          <w:szCs w:val="18"/>
                        </w:rPr>
                        <w:t xml:space="preserve">a) </w:t>
                      </w:r>
                      <w:r w:rsidR="00594790">
                        <w:rPr>
                          <w:rFonts w:ascii="Arial" w:hAnsi="Arial" w:cs="Arial"/>
                          <w:sz w:val="18"/>
                          <w:szCs w:val="18"/>
                        </w:rPr>
                        <w:t xml:space="preserve"> </w:t>
                      </w:r>
                      <w:r w:rsidR="00594790" w:rsidRPr="00594790">
                        <w:rPr>
                          <w:rFonts w:ascii="Arial" w:hAnsi="Arial" w:cs="Arial"/>
                          <w:sz w:val="18"/>
                          <w:szCs w:val="18"/>
                          <w:vertAlign w:val="superscript"/>
                        </w:rPr>
                        <w:t>1</w:t>
                      </w:r>
                      <w:r w:rsidR="00594790" w:rsidRPr="00594790">
                        <w:rPr>
                          <w:rFonts w:ascii="Arial" w:hAnsi="Arial" w:cs="Arial"/>
                          <w:sz w:val="18"/>
                          <w:szCs w:val="18"/>
                        </w:rPr>
                        <w:t xml:space="preserve">H 1D </w:t>
                      </w:r>
                      <w:proofErr w:type="spellStart"/>
                      <w:r w:rsidR="00594790" w:rsidRPr="00594790">
                        <w:rPr>
                          <w:rFonts w:ascii="Arial" w:hAnsi="Arial" w:cs="Arial"/>
                          <w:sz w:val="18"/>
                          <w:szCs w:val="18"/>
                        </w:rPr>
                        <w:t>Presaturation</w:t>
                      </w:r>
                      <w:proofErr w:type="spellEnd"/>
                      <w:r w:rsidR="009A0D82">
                        <w:rPr>
                          <w:rFonts w:ascii="Arial" w:hAnsi="Arial" w:cs="Arial"/>
                          <w:sz w:val="18"/>
                          <w:szCs w:val="18"/>
                        </w:rPr>
                        <w:t>/J-Resolved</w:t>
                      </w:r>
                      <w:r w:rsidR="00594790" w:rsidRPr="00594790">
                        <w:rPr>
                          <w:rFonts w:ascii="Arial" w:hAnsi="Arial" w:cs="Arial"/>
                          <w:sz w:val="18"/>
                          <w:szCs w:val="18"/>
                        </w:rPr>
                        <w:t xml:space="preserve"> </w:t>
                      </w:r>
                      <w:r w:rsidR="00594790">
                        <w:rPr>
                          <w:rFonts w:ascii="Arial" w:hAnsi="Arial" w:cs="Arial"/>
                          <w:sz w:val="18"/>
                          <w:szCs w:val="18"/>
                        </w:rPr>
                        <w:t xml:space="preserve">spectrum </w:t>
                      </w:r>
                      <w:r w:rsidR="00594790" w:rsidRPr="00594790">
                        <w:rPr>
                          <w:rFonts w:ascii="Arial" w:hAnsi="Arial" w:cs="Arial"/>
                          <w:sz w:val="18"/>
                          <w:szCs w:val="18"/>
                        </w:rPr>
                        <w:t>at 600 MHz</w:t>
                      </w:r>
                      <w:r w:rsidR="009A0D82">
                        <w:rPr>
                          <w:rFonts w:ascii="Arial" w:hAnsi="Arial" w:cs="Arial"/>
                          <w:sz w:val="18"/>
                          <w:szCs w:val="18"/>
                        </w:rPr>
                        <w:t xml:space="preserve"> (b) a TOCSY spectrum and (c</w:t>
                      </w:r>
                      <w:r w:rsidR="00594790" w:rsidRPr="00594790">
                        <w:rPr>
                          <w:rFonts w:ascii="Arial" w:hAnsi="Arial" w:cs="Arial"/>
                          <w:sz w:val="18"/>
                          <w:szCs w:val="18"/>
                        </w:rPr>
                        <w:t>)</w:t>
                      </w:r>
                      <w:r w:rsidR="00594790">
                        <w:rPr>
                          <w:rFonts w:ascii="Arial" w:hAnsi="Arial" w:cs="Arial"/>
                          <w:sz w:val="18"/>
                          <w:szCs w:val="18"/>
                        </w:rPr>
                        <w:t xml:space="preserve"> a</w:t>
                      </w:r>
                      <w:r w:rsidR="00594790" w:rsidRPr="00594790">
                        <w:rPr>
                          <w:rFonts w:ascii="Arial" w:hAnsi="Arial" w:cs="Arial"/>
                          <w:sz w:val="18"/>
                          <w:szCs w:val="18"/>
                        </w:rPr>
                        <w:t xml:space="preserve"> 1H{13C} HSQC spectrum </w:t>
                      </w:r>
                    </w:p>
                  </w:txbxContent>
                </v:textbox>
                <w10:wrap type="through" anchorx="margin"/>
              </v:shape>
            </w:pict>
          </mc:Fallback>
        </mc:AlternateContent>
      </w:r>
      <w:r w:rsidR="002524EE" w:rsidRPr="006B3824">
        <w:rPr>
          <w:rFonts w:ascii="Arial" w:hAnsi="Arial" w:cs="Arial"/>
          <w:b/>
          <w:sz w:val="20"/>
          <w:szCs w:val="20"/>
        </w:rPr>
        <w:t>Results and Discussion</w:t>
      </w:r>
    </w:p>
    <w:p w:rsidR="00E25473" w:rsidRDefault="00CF3CBD" w:rsidP="0049187D">
      <w:pPr>
        <w:tabs>
          <w:tab w:val="left" w:pos="360"/>
        </w:tabs>
        <w:rPr>
          <w:rFonts w:ascii="Arial" w:hAnsi="Arial" w:cs="Arial"/>
          <w:sz w:val="20"/>
          <w:szCs w:val="20"/>
        </w:rPr>
      </w:pPr>
      <w:r>
        <w:rPr>
          <w:rFonts w:ascii="Arial" w:hAnsi="Arial" w:cs="Arial"/>
          <w:sz w:val="20"/>
          <w:szCs w:val="20"/>
        </w:rPr>
        <w:tab/>
      </w:r>
      <w:r w:rsidR="00B666EA" w:rsidRPr="009E5651">
        <w:rPr>
          <w:rFonts w:ascii="Arial" w:hAnsi="Arial" w:cs="Arial"/>
          <w:sz w:val="20"/>
          <w:szCs w:val="20"/>
        </w:rPr>
        <w:t xml:space="preserve">Shown in Figure 1 (a) is a </w:t>
      </w:r>
      <w:r w:rsidR="00B666EA" w:rsidRPr="009E5651">
        <w:rPr>
          <w:rFonts w:ascii="Arial" w:hAnsi="Arial" w:cs="Arial"/>
          <w:sz w:val="20"/>
          <w:szCs w:val="20"/>
          <w:vertAlign w:val="superscript"/>
        </w:rPr>
        <w:t>1</w:t>
      </w:r>
      <w:r w:rsidR="00B666EA" w:rsidRPr="009E5651">
        <w:rPr>
          <w:rFonts w:ascii="Arial" w:hAnsi="Arial" w:cs="Arial"/>
          <w:sz w:val="20"/>
          <w:szCs w:val="20"/>
        </w:rPr>
        <w:t xml:space="preserve">H 1D pre-saturation spectrum (above) and a projection of a 2D J-resolved spectrum (below) of a control sample of rat serum in </w:t>
      </w:r>
      <w:r w:rsidR="00904EBE">
        <w:rPr>
          <w:rFonts w:ascii="Arial" w:hAnsi="Arial" w:cs="Arial"/>
          <w:sz w:val="20"/>
          <w:szCs w:val="20"/>
        </w:rPr>
        <w:t>10% D2O</w:t>
      </w:r>
      <w:r w:rsidR="00B666EA" w:rsidRPr="009E5651">
        <w:rPr>
          <w:rFonts w:ascii="Arial" w:hAnsi="Arial" w:cs="Arial"/>
          <w:sz w:val="20"/>
          <w:szCs w:val="20"/>
        </w:rPr>
        <w:t xml:space="preserve">. Figure 1 (b) is a 2D </w:t>
      </w:r>
      <w:r w:rsidR="00B666EA" w:rsidRPr="009E5651">
        <w:rPr>
          <w:rFonts w:ascii="Arial" w:hAnsi="Arial" w:cs="Arial"/>
          <w:sz w:val="20"/>
          <w:szCs w:val="20"/>
          <w:vertAlign w:val="superscript"/>
        </w:rPr>
        <w:t>1</w:t>
      </w:r>
      <w:r w:rsidR="00B666EA" w:rsidRPr="009E5651">
        <w:rPr>
          <w:rFonts w:ascii="Arial" w:hAnsi="Arial" w:cs="Arial"/>
          <w:sz w:val="20"/>
          <w:szCs w:val="20"/>
        </w:rPr>
        <w:t xml:space="preserve">H TOCSY spectrum using an 80 </w:t>
      </w:r>
      <w:proofErr w:type="spellStart"/>
      <w:r w:rsidR="00B666EA" w:rsidRPr="009E5651">
        <w:rPr>
          <w:rFonts w:ascii="Arial" w:hAnsi="Arial" w:cs="Arial"/>
          <w:sz w:val="20"/>
          <w:szCs w:val="20"/>
        </w:rPr>
        <w:t>ms</w:t>
      </w:r>
      <w:proofErr w:type="spellEnd"/>
      <w:r w:rsidR="00B666EA" w:rsidRPr="009E5651">
        <w:rPr>
          <w:rFonts w:ascii="Arial" w:hAnsi="Arial" w:cs="Arial"/>
          <w:sz w:val="20"/>
          <w:szCs w:val="20"/>
        </w:rPr>
        <w:t xml:space="preserve"> mixing time. Figure 1 (c) is a 2D </w:t>
      </w:r>
      <w:r w:rsidR="00B666EA" w:rsidRPr="009E5651">
        <w:rPr>
          <w:rFonts w:ascii="Arial" w:hAnsi="Arial" w:cs="Arial"/>
          <w:sz w:val="20"/>
          <w:szCs w:val="20"/>
          <w:vertAlign w:val="superscript"/>
        </w:rPr>
        <w:t>1</w:t>
      </w:r>
      <w:r w:rsidR="00B666EA" w:rsidRPr="009E5651">
        <w:rPr>
          <w:rFonts w:ascii="Arial" w:hAnsi="Arial" w:cs="Arial"/>
          <w:sz w:val="20"/>
          <w:szCs w:val="20"/>
        </w:rPr>
        <w:t>H{</w:t>
      </w:r>
      <w:r w:rsidR="00B666EA" w:rsidRPr="009E5651">
        <w:rPr>
          <w:rFonts w:ascii="Arial" w:hAnsi="Arial" w:cs="Arial"/>
          <w:sz w:val="20"/>
          <w:szCs w:val="20"/>
          <w:vertAlign w:val="superscript"/>
        </w:rPr>
        <w:t>13</w:t>
      </w:r>
      <w:r w:rsidR="00B666EA" w:rsidRPr="009E5651">
        <w:rPr>
          <w:rFonts w:ascii="Arial" w:hAnsi="Arial" w:cs="Arial"/>
          <w:sz w:val="20"/>
          <w:szCs w:val="20"/>
        </w:rPr>
        <w:t xml:space="preserve">C} HSQC spectrum which provides </w:t>
      </w:r>
      <w:r w:rsidR="00B666EA" w:rsidRPr="009E5651">
        <w:rPr>
          <w:rFonts w:ascii="Arial" w:hAnsi="Arial" w:cs="Arial"/>
          <w:sz w:val="20"/>
          <w:szCs w:val="20"/>
          <w:vertAlign w:val="superscript"/>
        </w:rPr>
        <w:t>13</w:t>
      </w:r>
      <w:r w:rsidR="00B666EA" w:rsidRPr="009E5651">
        <w:rPr>
          <w:rFonts w:ascii="Arial" w:hAnsi="Arial" w:cs="Arial"/>
          <w:sz w:val="20"/>
          <w:szCs w:val="20"/>
        </w:rPr>
        <w:t>C chemical shifts and greatly aids in the identification of the metabolites.</w:t>
      </w:r>
      <w:r w:rsidR="009A0D82">
        <w:rPr>
          <w:rFonts w:ascii="Arial" w:hAnsi="Arial" w:cs="Arial"/>
          <w:sz w:val="20"/>
          <w:szCs w:val="20"/>
        </w:rPr>
        <w:t xml:space="preserve"> </w:t>
      </w:r>
      <w:r w:rsidR="00B666EA">
        <w:rPr>
          <w:rFonts w:ascii="Arial" w:hAnsi="Arial" w:cs="Arial"/>
          <w:sz w:val="20"/>
          <w:szCs w:val="20"/>
        </w:rPr>
        <w:t xml:space="preserve">The NHMFL recently purchased the AMIX license and we will </w:t>
      </w:r>
      <w:r w:rsidR="009A0D82">
        <w:rPr>
          <w:rFonts w:ascii="Arial" w:hAnsi="Arial" w:cs="Arial"/>
          <w:sz w:val="20"/>
          <w:szCs w:val="20"/>
        </w:rPr>
        <w:t xml:space="preserve">now </w:t>
      </w:r>
      <w:r w:rsidR="00B666EA">
        <w:rPr>
          <w:rFonts w:ascii="Arial" w:hAnsi="Arial" w:cs="Arial"/>
          <w:sz w:val="20"/>
          <w:szCs w:val="20"/>
        </w:rPr>
        <w:t>be able to evaluate our data with Pr</w:t>
      </w:r>
      <w:r w:rsidR="009A0D82">
        <w:rPr>
          <w:rFonts w:ascii="Arial" w:hAnsi="Arial" w:cs="Arial"/>
          <w:sz w:val="20"/>
          <w:szCs w:val="20"/>
        </w:rPr>
        <w:t>incipal Component Analysis</w:t>
      </w:r>
      <w:r w:rsidR="00B666EA">
        <w:rPr>
          <w:rFonts w:ascii="Arial" w:hAnsi="Arial" w:cs="Arial"/>
          <w:sz w:val="20"/>
          <w:szCs w:val="20"/>
        </w:rPr>
        <w:t>.</w:t>
      </w:r>
    </w:p>
    <w:p w:rsidR="00734E94" w:rsidRPr="006B3824" w:rsidRDefault="00734E94" w:rsidP="0049187D">
      <w:pPr>
        <w:tabs>
          <w:tab w:val="left" w:pos="360"/>
        </w:tabs>
        <w:rPr>
          <w:rFonts w:ascii="Arial" w:hAnsi="Arial" w:cs="Arial"/>
          <w:sz w:val="20"/>
          <w:szCs w:val="20"/>
        </w:rPr>
      </w:pPr>
    </w:p>
    <w:p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rsidR="00491C5D" w:rsidRDefault="00FB4399"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 xml:space="preserve">. </w:t>
      </w:r>
      <w:r w:rsidR="00491C5D">
        <w:rPr>
          <w:rFonts w:ascii="Arial" w:eastAsia="Times New Roman" w:hAnsi="Arial" w:cs="Arial"/>
          <w:sz w:val="20"/>
          <w:szCs w:val="20"/>
          <w:lang w:eastAsia="en-US"/>
        </w:rPr>
        <w:t xml:space="preserve"> </w:t>
      </w:r>
    </w:p>
    <w:p w:rsidR="00FB4399" w:rsidRPr="00491C5D" w:rsidRDefault="00491C5D"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FB4399" w:rsidRPr="00FB4399">
        <w:rPr>
          <w:rFonts w:ascii="Arial" w:hAnsi="Arial" w:cs="Arial"/>
          <w:sz w:val="20"/>
          <w:szCs w:val="20"/>
        </w:rPr>
        <w:t xml:space="preserve"> </w:t>
      </w:r>
    </w:p>
    <w:p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rsidR="008D0FD3" w:rsidRPr="008D0FD3" w:rsidRDefault="00CF3CBD" w:rsidP="008D0FD3">
      <w:pPr>
        <w:tabs>
          <w:tab w:val="left" w:pos="360"/>
        </w:tabs>
        <w:rPr>
          <w:rFonts w:ascii="Arial" w:hAnsi="Arial" w:cs="Arial"/>
          <w:bCs/>
          <w:sz w:val="20"/>
          <w:szCs w:val="20"/>
        </w:rPr>
      </w:pPr>
      <w:r>
        <w:rPr>
          <w:rFonts w:ascii="Arial" w:hAnsi="Arial" w:cs="Arial"/>
          <w:bCs/>
          <w:sz w:val="20"/>
          <w:szCs w:val="20"/>
        </w:rPr>
        <w:t xml:space="preserve">[1] </w:t>
      </w:r>
      <w:r w:rsidR="008D0FD3" w:rsidRPr="008D0FD3">
        <w:rPr>
          <w:rFonts w:ascii="Arial" w:hAnsi="Arial" w:cs="Arial"/>
          <w:bCs/>
          <w:sz w:val="20"/>
          <w:szCs w:val="20"/>
        </w:rPr>
        <w:t>Dutta,</w:t>
      </w:r>
      <w:r w:rsidR="008D0FD3">
        <w:rPr>
          <w:rFonts w:ascii="Arial" w:hAnsi="Arial" w:cs="Arial"/>
          <w:bCs/>
          <w:sz w:val="20"/>
          <w:szCs w:val="20"/>
        </w:rPr>
        <w:t xml:space="preserve"> D.,</w:t>
      </w:r>
      <w:r w:rsidR="008D0FD3" w:rsidRPr="008D0FD3">
        <w:rPr>
          <w:rFonts w:ascii="Arial" w:hAnsi="Arial" w:cs="Arial"/>
          <w:bCs/>
          <w:sz w:val="20"/>
          <w:szCs w:val="20"/>
        </w:rPr>
        <w:t xml:space="preserve"> </w:t>
      </w:r>
      <w:r w:rsidR="008D0FD3" w:rsidRPr="008D0FD3">
        <w:rPr>
          <w:rFonts w:ascii="Arial" w:hAnsi="Arial" w:cs="Arial"/>
          <w:bCs/>
          <w:i/>
          <w:sz w:val="20"/>
          <w:szCs w:val="20"/>
        </w:rPr>
        <w:t>et al.</w:t>
      </w:r>
      <w:r w:rsidR="00594790">
        <w:rPr>
          <w:rFonts w:ascii="Arial" w:hAnsi="Arial" w:cs="Arial"/>
          <w:bCs/>
          <w:i/>
          <w:sz w:val="20"/>
          <w:szCs w:val="20"/>
        </w:rPr>
        <w:t>,</w:t>
      </w:r>
      <w:r w:rsidR="008D0FD3" w:rsidRPr="008D0FD3">
        <w:rPr>
          <w:rFonts w:ascii="Arial" w:hAnsi="Arial" w:cs="Arial"/>
          <w:bCs/>
          <w:sz w:val="20"/>
          <w:szCs w:val="20"/>
        </w:rPr>
        <w:t xml:space="preserve"> Free Radic</w:t>
      </w:r>
      <w:r w:rsidR="008D0FD3">
        <w:rPr>
          <w:rFonts w:ascii="Arial" w:hAnsi="Arial" w:cs="Arial"/>
          <w:bCs/>
          <w:sz w:val="20"/>
          <w:szCs w:val="20"/>
        </w:rPr>
        <w:t>al</w:t>
      </w:r>
      <w:r w:rsidR="008D0FD3" w:rsidRPr="008D0FD3">
        <w:rPr>
          <w:rFonts w:ascii="Arial" w:hAnsi="Arial" w:cs="Arial"/>
          <w:bCs/>
          <w:sz w:val="20"/>
          <w:szCs w:val="20"/>
        </w:rPr>
        <w:t xml:space="preserve"> Biol. Med. </w:t>
      </w:r>
      <w:r w:rsidR="008D0FD3" w:rsidRPr="008D0FD3">
        <w:rPr>
          <w:rFonts w:ascii="Arial" w:hAnsi="Arial" w:cs="Arial"/>
          <w:b/>
          <w:bCs/>
          <w:sz w:val="20"/>
          <w:szCs w:val="20"/>
        </w:rPr>
        <w:t>74</w:t>
      </w:r>
      <w:r w:rsidR="008D0FD3">
        <w:rPr>
          <w:rFonts w:ascii="Arial" w:hAnsi="Arial" w:cs="Arial"/>
          <w:bCs/>
          <w:sz w:val="20"/>
          <w:szCs w:val="20"/>
        </w:rPr>
        <w:t xml:space="preserve">, </w:t>
      </w:r>
      <w:r w:rsidR="008D0FD3" w:rsidRPr="008D0FD3">
        <w:rPr>
          <w:rFonts w:ascii="Arial" w:hAnsi="Arial" w:cs="Arial"/>
          <w:bCs/>
          <w:sz w:val="20"/>
          <w:szCs w:val="20"/>
        </w:rPr>
        <w:t>252-62</w:t>
      </w:r>
      <w:r w:rsidR="008D0FD3">
        <w:rPr>
          <w:rFonts w:ascii="Arial" w:hAnsi="Arial" w:cs="Arial"/>
          <w:bCs/>
          <w:sz w:val="20"/>
          <w:szCs w:val="20"/>
        </w:rPr>
        <w:t xml:space="preserve"> (2014)</w:t>
      </w:r>
      <w:r w:rsidR="008D0FD3" w:rsidRPr="008D0FD3">
        <w:rPr>
          <w:rFonts w:ascii="Arial" w:hAnsi="Arial" w:cs="Arial"/>
          <w:bCs/>
          <w:sz w:val="20"/>
          <w:szCs w:val="20"/>
        </w:rPr>
        <w:t>.</w:t>
      </w:r>
    </w:p>
    <w:p w:rsidR="00F908F6" w:rsidRPr="006B3824" w:rsidRDefault="008D0FD3" w:rsidP="0049187D">
      <w:pPr>
        <w:tabs>
          <w:tab w:val="left" w:pos="360"/>
        </w:tabs>
        <w:rPr>
          <w:rFonts w:ascii="Arial" w:hAnsi="Arial" w:cs="Arial"/>
          <w:sz w:val="20"/>
          <w:szCs w:val="20"/>
        </w:rPr>
      </w:pPr>
      <w:r>
        <w:rPr>
          <w:rFonts w:ascii="Arial" w:hAnsi="Arial" w:cs="Arial"/>
          <w:bCs/>
          <w:sz w:val="20"/>
          <w:szCs w:val="20"/>
        </w:rPr>
        <w:t>[2</w:t>
      </w:r>
      <w:r w:rsidR="00CF3CBD">
        <w:rPr>
          <w:rFonts w:ascii="Arial" w:hAnsi="Arial" w:cs="Arial"/>
          <w:bCs/>
          <w:sz w:val="20"/>
          <w:szCs w:val="20"/>
        </w:rPr>
        <w:t xml:space="preserve">] </w:t>
      </w:r>
      <w:bookmarkStart w:id="0" w:name="_GoBack"/>
      <w:bookmarkEnd w:id="0"/>
      <w:r>
        <w:rPr>
          <w:rFonts w:ascii="Arial" w:hAnsi="Arial" w:cs="Arial"/>
          <w:bCs/>
          <w:sz w:val="20"/>
          <w:szCs w:val="20"/>
        </w:rPr>
        <w:t xml:space="preserve">Dona, A.C., </w:t>
      </w:r>
      <w:r w:rsidRPr="008D0FD3">
        <w:rPr>
          <w:rFonts w:ascii="Arial" w:hAnsi="Arial" w:cs="Arial"/>
          <w:bCs/>
          <w:i/>
          <w:sz w:val="20"/>
          <w:szCs w:val="20"/>
        </w:rPr>
        <w:t>et al.</w:t>
      </w:r>
      <w:r w:rsidR="00594790">
        <w:rPr>
          <w:rFonts w:ascii="Arial" w:hAnsi="Arial" w:cs="Arial"/>
          <w:bCs/>
          <w:i/>
          <w:sz w:val="20"/>
          <w:szCs w:val="20"/>
        </w:rPr>
        <w:t xml:space="preserve">, </w:t>
      </w:r>
      <w:r>
        <w:rPr>
          <w:rFonts w:ascii="Arial" w:hAnsi="Arial" w:cs="Arial"/>
          <w:bCs/>
          <w:sz w:val="20"/>
          <w:szCs w:val="20"/>
        </w:rPr>
        <w:t xml:space="preserve"> Anal. Chem.</w:t>
      </w:r>
      <w:r w:rsidRPr="008D0FD3">
        <w:rPr>
          <w:rFonts w:ascii="Arial" w:hAnsi="Arial" w:cs="Arial"/>
          <w:bCs/>
          <w:sz w:val="20"/>
          <w:szCs w:val="20"/>
        </w:rPr>
        <w:t xml:space="preserve">, </w:t>
      </w:r>
      <w:r w:rsidRPr="008D0FD3">
        <w:rPr>
          <w:rFonts w:ascii="Arial" w:hAnsi="Arial" w:cs="Arial"/>
          <w:b/>
          <w:bCs/>
          <w:sz w:val="20"/>
          <w:szCs w:val="20"/>
        </w:rPr>
        <w:t>86</w:t>
      </w:r>
      <w:r w:rsidRPr="008D0FD3">
        <w:rPr>
          <w:rFonts w:ascii="Arial" w:hAnsi="Arial" w:cs="Arial"/>
          <w:bCs/>
          <w:sz w:val="20"/>
          <w:szCs w:val="20"/>
        </w:rPr>
        <w:t>, 9887−9894</w:t>
      </w:r>
      <w:r>
        <w:rPr>
          <w:rFonts w:ascii="Arial" w:hAnsi="Arial" w:cs="Arial"/>
          <w:bCs/>
          <w:sz w:val="20"/>
          <w:szCs w:val="20"/>
        </w:rPr>
        <w:t xml:space="preserve"> (2014).</w:t>
      </w:r>
    </w:p>
    <w:sectPr w:rsidR="00F908F6" w:rsidRPr="006B3824" w:rsidSect="00450C97">
      <w:headerReference w:type="default" r:id="rId14"/>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72" w:rsidRDefault="00075E72">
      <w:r>
        <w:separator/>
      </w:r>
    </w:p>
  </w:endnote>
  <w:endnote w:type="continuationSeparator" w:id="0">
    <w:p w:rsidR="00075E72" w:rsidRDefault="0007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72" w:rsidRDefault="00075E72">
      <w:r>
        <w:separator/>
      </w:r>
    </w:p>
  </w:footnote>
  <w:footnote w:type="continuationSeparator" w:id="0">
    <w:p w:rsidR="00075E72" w:rsidRDefault="00075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CD2E27"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extent cx="518160" cy="624840"/>
          <wp:effectExtent l="0" t="0" r="0" b="381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CE62D8"/>
    <w:multiLevelType w:val="hybridMultilevel"/>
    <w:tmpl w:val="5A7E2320"/>
    <w:lvl w:ilvl="0" w:tplc="04625B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7B4334"/>
    <w:multiLevelType w:val="hybridMultilevel"/>
    <w:tmpl w:val="E9621586"/>
    <w:lvl w:ilvl="0" w:tplc="E7BE0F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4"/>
  </w:num>
  <w:num w:numId="4">
    <w:abstractNumId w:val="2"/>
  </w:num>
  <w:num w:numId="5">
    <w:abstractNumId w:val="0"/>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75E72"/>
    <w:rsid w:val="00085670"/>
    <w:rsid w:val="000A1716"/>
    <w:rsid w:val="000A59A8"/>
    <w:rsid w:val="000E1D4F"/>
    <w:rsid w:val="00104A4C"/>
    <w:rsid w:val="00113D92"/>
    <w:rsid w:val="00114BFF"/>
    <w:rsid w:val="00120180"/>
    <w:rsid w:val="0014131B"/>
    <w:rsid w:val="00141FE9"/>
    <w:rsid w:val="00155AD2"/>
    <w:rsid w:val="00167606"/>
    <w:rsid w:val="001819C6"/>
    <w:rsid w:val="001836FA"/>
    <w:rsid w:val="0018419E"/>
    <w:rsid w:val="0018697C"/>
    <w:rsid w:val="00187023"/>
    <w:rsid w:val="001D59E4"/>
    <w:rsid w:val="001E526E"/>
    <w:rsid w:val="001E5ECF"/>
    <w:rsid w:val="001E6BF4"/>
    <w:rsid w:val="00231335"/>
    <w:rsid w:val="00233F11"/>
    <w:rsid w:val="00241739"/>
    <w:rsid w:val="002426D5"/>
    <w:rsid w:val="002470EE"/>
    <w:rsid w:val="002524EE"/>
    <w:rsid w:val="00265A15"/>
    <w:rsid w:val="00290223"/>
    <w:rsid w:val="002C7675"/>
    <w:rsid w:val="00306550"/>
    <w:rsid w:val="00312C04"/>
    <w:rsid w:val="00334CEB"/>
    <w:rsid w:val="003560D2"/>
    <w:rsid w:val="00363C8F"/>
    <w:rsid w:val="00376D2C"/>
    <w:rsid w:val="00393065"/>
    <w:rsid w:val="003A1FF5"/>
    <w:rsid w:val="003C6493"/>
    <w:rsid w:val="003E2F8E"/>
    <w:rsid w:val="003F55A7"/>
    <w:rsid w:val="003F6E7E"/>
    <w:rsid w:val="00410D2C"/>
    <w:rsid w:val="00420894"/>
    <w:rsid w:val="00450C97"/>
    <w:rsid w:val="00486FF9"/>
    <w:rsid w:val="0049187D"/>
    <w:rsid w:val="00491C5D"/>
    <w:rsid w:val="004A227C"/>
    <w:rsid w:val="004F160B"/>
    <w:rsid w:val="005034C0"/>
    <w:rsid w:val="00511F7E"/>
    <w:rsid w:val="005173CE"/>
    <w:rsid w:val="0053142A"/>
    <w:rsid w:val="005452B9"/>
    <w:rsid w:val="00583BC3"/>
    <w:rsid w:val="00594790"/>
    <w:rsid w:val="005A1B84"/>
    <w:rsid w:val="005C4422"/>
    <w:rsid w:val="005C4667"/>
    <w:rsid w:val="005C5648"/>
    <w:rsid w:val="00625028"/>
    <w:rsid w:val="00627F7D"/>
    <w:rsid w:val="006612DC"/>
    <w:rsid w:val="00672D41"/>
    <w:rsid w:val="006B3824"/>
    <w:rsid w:val="006C4440"/>
    <w:rsid w:val="006D745E"/>
    <w:rsid w:val="006E2CE0"/>
    <w:rsid w:val="006E4A9F"/>
    <w:rsid w:val="007207FF"/>
    <w:rsid w:val="00731C19"/>
    <w:rsid w:val="00734E94"/>
    <w:rsid w:val="00764FB5"/>
    <w:rsid w:val="00774A49"/>
    <w:rsid w:val="007A74CF"/>
    <w:rsid w:val="007C0813"/>
    <w:rsid w:val="007D3105"/>
    <w:rsid w:val="007E2F28"/>
    <w:rsid w:val="00862CB5"/>
    <w:rsid w:val="00883638"/>
    <w:rsid w:val="008A1D84"/>
    <w:rsid w:val="008B05B8"/>
    <w:rsid w:val="008C5788"/>
    <w:rsid w:val="008D0FD3"/>
    <w:rsid w:val="008E5BC5"/>
    <w:rsid w:val="008E5C85"/>
    <w:rsid w:val="008F35CC"/>
    <w:rsid w:val="008F6083"/>
    <w:rsid w:val="00904EBE"/>
    <w:rsid w:val="009648AC"/>
    <w:rsid w:val="009A0D82"/>
    <w:rsid w:val="009A39F6"/>
    <w:rsid w:val="009A3F73"/>
    <w:rsid w:val="009B41B2"/>
    <w:rsid w:val="009C318D"/>
    <w:rsid w:val="009C3DF0"/>
    <w:rsid w:val="009C7F31"/>
    <w:rsid w:val="009D39A4"/>
    <w:rsid w:val="009E4F1E"/>
    <w:rsid w:val="009E5651"/>
    <w:rsid w:val="00A1227A"/>
    <w:rsid w:val="00A55035"/>
    <w:rsid w:val="00A758E6"/>
    <w:rsid w:val="00A94FC4"/>
    <w:rsid w:val="00AB6F8D"/>
    <w:rsid w:val="00AC297F"/>
    <w:rsid w:val="00AC4AFE"/>
    <w:rsid w:val="00AD3CDD"/>
    <w:rsid w:val="00AE142B"/>
    <w:rsid w:val="00AF7C63"/>
    <w:rsid w:val="00B00CDB"/>
    <w:rsid w:val="00B25D4D"/>
    <w:rsid w:val="00B45112"/>
    <w:rsid w:val="00B5585D"/>
    <w:rsid w:val="00B666EA"/>
    <w:rsid w:val="00B71405"/>
    <w:rsid w:val="00B75DC9"/>
    <w:rsid w:val="00B94321"/>
    <w:rsid w:val="00B95FCB"/>
    <w:rsid w:val="00B96080"/>
    <w:rsid w:val="00BA00BE"/>
    <w:rsid w:val="00BA7096"/>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D2E27"/>
    <w:rsid w:val="00CE3F90"/>
    <w:rsid w:val="00CF3CBD"/>
    <w:rsid w:val="00D01F6B"/>
    <w:rsid w:val="00D0313F"/>
    <w:rsid w:val="00D07879"/>
    <w:rsid w:val="00D1756D"/>
    <w:rsid w:val="00D65CBB"/>
    <w:rsid w:val="00D67B56"/>
    <w:rsid w:val="00D851F6"/>
    <w:rsid w:val="00DD44E5"/>
    <w:rsid w:val="00DE3216"/>
    <w:rsid w:val="00E04B24"/>
    <w:rsid w:val="00E07ED9"/>
    <w:rsid w:val="00E25473"/>
    <w:rsid w:val="00E411D1"/>
    <w:rsid w:val="00E43BB4"/>
    <w:rsid w:val="00E5095B"/>
    <w:rsid w:val="00E57E61"/>
    <w:rsid w:val="00E60509"/>
    <w:rsid w:val="00EA1E33"/>
    <w:rsid w:val="00EB489A"/>
    <w:rsid w:val="00EB515D"/>
    <w:rsid w:val="00F23F2F"/>
    <w:rsid w:val="00F31351"/>
    <w:rsid w:val="00F31B06"/>
    <w:rsid w:val="00F43581"/>
    <w:rsid w:val="00F4530F"/>
    <w:rsid w:val="00F45B22"/>
    <w:rsid w:val="00F52E02"/>
    <w:rsid w:val="00F54466"/>
    <w:rsid w:val="00F8198A"/>
    <w:rsid w:val="00F908F6"/>
    <w:rsid w:val="00F935F1"/>
    <w:rsid w:val="00F95583"/>
    <w:rsid w:val="00F974C6"/>
    <w:rsid w:val="00FB4399"/>
    <w:rsid w:val="00FC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ListParagraph">
    <w:name w:val="List Paragraph"/>
    <w:basedOn w:val="Normal"/>
    <w:uiPriority w:val="34"/>
    <w:qFormat/>
    <w:rsid w:val="00904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ListParagraph">
    <w:name w:val="List Paragraph"/>
    <w:basedOn w:val="Normal"/>
    <w:uiPriority w:val="34"/>
    <w:qFormat/>
    <w:rsid w:val="00904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FD5EE-0618-4327-AF71-25BE116F81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2015-07-15T21:10:00Z</cp:lastPrinted>
  <dcterms:created xsi:type="dcterms:W3CDTF">2016-02-10T16:07:00Z</dcterms:created>
  <dcterms:modified xsi:type="dcterms:W3CDTF">2016-02-10T16:07:00Z</dcterms:modified>
</cp:coreProperties>
</file>