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51" w:rsidRPr="00480D52" w:rsidRDefault="002E2A51" w:rsidP="002E4E14">
      <w:pPr>
        <w:tabs>
          <w:tab w:val="left" w:pos="360"/>
        </w:tabs>
        <w:spacing w:before="120"/>
        <w:jc w:val="center"/>
        <w:rPr>
          <w:rFonts w:ascii="Arial" w:hAnsi="Arial" w:cs="Arial"/>
          <w:b/>
          <w:bCs/>
        </w:rPr>
      </w:pPr>
      <w:r w:rsidRPr="00480D52">
        <w:rPr>
          <w:rFonts w:ascii="Arial" w:hAnsi="Arial" w:cs="Arial"/>
          <w:b/>
          <w:bCs/>
        </w:rPr>
        <w:t>Selective Membrane Disruption Mechani</w:t>
      </w:r>
      <w:r>
        <w:rPr>
          <w:rFonts w:ascii="Arial" w:hAnsi="Arial" w:cs="Arial"/>
          <w:b/>
          <w:bCs/>
        </w:rPr>
        <w:t xml:space="preserve">sm of an Antibacterial </w:t>
      </w:r>
      <w:r>
        <w:rPr>
          <w:rFonts w:ascii="Calibri" w:hAnsi="Calibri" w:cs="Arial"/>
          <w:b/>
          <w:bCs/>
        </w:rPr>
        <w:t>γ</w:t>
      </w:r>
      <w:r>
        <w:rPr>
          <w:rFonts w:ascii="Arial" w:hAnsi="Arial" w:cs="Arial"/>
          <w:b/>
          <w:bCs/>
        </w:rPr>
        <w:t>-</w:t>
      </w:r>
      <w:proofErr w:type="spellStart"/>
      <w:r w:rsidRPr="00480D52">
        <w:rPr>
          <w:rFonts w:ascii="Arial" w:hAnsi="Arial" w:cs="Arial"/>
          <w:b/>
          <w:bCs/>
        </w:rPr>
        <w:t>AApeptide</w:t>
      </w:r>
      <w:proofErr w:type="spellEnd"/>
      <w:r w:rsidRPr="00480D52">
        <w:rPr>
          <w:rFonts w:ascii="Arial" w:hAnsi="Arial" w:cs="Arial"/>
          <w:b/>
          <w:bCs/>
        </w:rPr>
        <w:t xml:space="preserve"> Defined by </w:t>
      </w:r>
      <w:r>
        <w:rPr>
          <w:rFonts w:ascii="Arial" w:hAnsi="Arial" w:cs="Arial"/>
          <w:b/>
          <w:bCs/>
        </w:rPr>
        <w:t xml:space="preserve">Multi-Frequency </w:t>
      </w:r>
      <w:r w:rsidRPr="00480D52">
        <w:rPr>
          <w:rFonts w:ascii="Arial" w:hAnsi="Arial" w:cs="Arial"/>
          <w:b/>
          <w:bCs/>
        </w:rPr>
        <w:t>EPR</w:t>
      </w:r>
    </w:p>
    <w:p w:rsidR="002E2A51" w:rsidRPr="006B3824" w:rsidRDefault="002E2A51" w:rsidP="002E2A51">
      <w:pPr>
        <w:tabs>
          <w:tab w:val="left" w:pos="360"/>
        </w:tabs>
        <w:rPr>
          <w:rFonts w:ascii="Arial" w:hAnsi="Arial" w:cs="Arial"/>
          <w:sz w:val="20"/>
          <w:szCs w:val="20"/>
        </w:rPr>
      </w:pPr>
    </w:p>
    <w:p w:rsidR="002E2A51" w:rsidRPr="006B3824" w:rsidRDefault="002E4E14" w:rsidP="002E2A51">
      <w:pPr>
        <w:tabs>
          <w:tab w:val="left" w:pos="360"/>
        </w:tabs>
        <w:rPr>
          <w:rFonts w:ascii="Arial" w:hAnsi="Arial" w:cs="Arial"/>
          <w:sz w:val="20"/>
          <w:szCs w:val="20"/>
        </w:rPr>
      </w:pPr>
      <w:r>
        <w:rPr>
          <w:rFonts w:ascii="Arial" w:hAnsi="Arial" w:cs="Arial"/>
          <w:sz w:val="20"/>
          <w:szCs w:val="20"/>
        </w:rPr>
        <w:t>Kaur, P.;</w:t>
      </w:r>
      <w:r w:rsidR="002E2A51">
        <w:rPr>
          <w:rFonts w:ascii="Arial" w:hAnsi="Arial" w:cs="Arial"/>
          <w:sz w:val="20"/>
          <w:szCs w:val="20"/>
        </w:rPr>
        <w:t xml:space="preserve"> </w:t>
      </w:r>
      <w:r w:rsidR="002E2A51" w:rsidRPr="00CB0DD0">
        <w:rPr>
          <w:rFonts w:ascii="Arial" w:hAnsi="Arial" w:cs="Arial"/>
          <w:sz w:val="20"/>
          <w:szCs w:val="20"/>
          <w:u w:val="single"/>
        </w:rPr>
        <w:t>Song, L.</w:t>
      </w:r>
      <w:r w:rsidR="002E2A51">
        <w:rPr>
          <w:rFonts w:ascii="Arial" w:hAnsi="Arial" w:cs="Arial"/>
          <w:sz w:val="20"/>
          <w:szCs w:val="20"/>
        </w:rPr>
        <w:t xml:space="preserve"> (NHMFL); Li, Y. and </w:t>
      </w:r>
      <w:proofErr w:type="spellStart"/>
      <w:proofErr w:type="gramStart"/>
      <w:r w:rsidR="002E2A51">
        <w:rPr>
          <w:rFonts w:ascii="Arial" w:hAnsi="Arial" w:cs="Arial"/>
          <w:sz w:val="20"/>
          <w:szCs w:val="20"/>
        </w:rPr>
        <w:t>Cai</w:t>
      </w:r>
      <w:proofErr w:type="spellEnd"/>
      <w:proofErr w:type="gramEnd"/>
      <w:r w:rsidR="002E2A51">
        <w:rPr>
          <w:rFonts w:ascii="Arial" w:hAnsi="Arial" w:cs="Arial"/>
          <w:sz w:val="20"/>
          <w:szCs w:val="20"/>
        </w:rPr>
        <w:t>, J. (U. of South Florida, Chemistry)</w:t>
      </w:r>
    </w:p>
    <w:p w:rsidR="002E2A51" w:rsidRPr="006B3824" w:rsidRDefault="002E2A51" w:rsidP="002E2A51">
      <w:pPr>
        <w:pBdr>
          <w:bottom w:val="single" w:sz="12" w:space="1" w:color="auto"/>
        </w:pBdr>
        <w:tabs>
          <w:tab w:val="left" w:pos="360"/>
        </w:tabs>
        <w:rPr>
          <w:rFonts w:ascii="Arial" w:hAnsi="Arial" w:cs="Arial"/>
          <w:sz w:val="20"/>
          <w:szCs w:val="20"/>
        </w:rPr>
      </w:pPr>
    </w:p>
    <w:p w:rsidR="002E2A51" w:rsidRDefault="002E2A51" w:rsidP="002E2A51">
      <w:pPr>
        <w:tabs>
          <w:tab w:val="left" w:pos="360"/>
        </w:tabs>
        <w:rPr>
          <w:rFonts w:ascii="Arial" w:hAnsi="Arial" w:cs="Arial"/>
          <w:sz w:val="20"/>
          <w:szCs w:val="20"/>
        </w:rPr>
      </w:pPr>
    </w:p>
    <w:p w:rsidR="002E2A51" w:rsidRPr="002426D5" w:rsidRDefault="002E2A51" w:rsidP="002E2A51">
      <w:pPr>
        <w:tabs>
          <w:tab w:val="left" w:pos="360"/>
        </w:tabs>
        <w:rPr>
          <w:rFonts w:ascii="Arial" w:hAnsi="Arial" w:cs="Arial"/>
          <w:b/>
          <w:sz w:val="20"/>
          <w:szCs w:val="20"/>
        </w:rPr>
      </w:pPr>
      <w:r w:rsidRPr="006B3824">
        <w:rPr>
          <w:rFonts w:ascii="Arial" w:hAnsi="Arial" w:cs="Arial"/>
          <w:b/>
          <w:sz w:val="20"/>
          <w:szCs w:val="20"/>
        </w:rPr>
        <w:t>Introduction</w:t>
      </w:r>
      <w:r>
        <w:rPr>
          <w:rFonts w:ascii="Arial" w:hAnsi="Arial" w:cs="Arial"/>
          <w:b/>
          <w:sz w:val="20"/>
          <w:szCs w:val="20"/>
        </w:rPr>
        <w:t xml:space="preserve"> </w:t>
      </w:r>
    </w:p>
    <w:p w:rsidR="002E2A51" w:rsidRPr="00480D52" w:rsidRDefault="003675E7" w:rsidP="002E2A51">
      <w:pPr>
        <w:tabs>
          <w:tab w:val="left" w:pos="360"/>
        </w:tabs>
        <w:rPr>
          <w:rFonts w:ascii="Arial" w:hAnsi="Arial" w:cs="Arial"/>
          <w:sz w:val="20"/>
          <w:szCs w:val="20"/>
        </w:rPr>
      </w:pPr>
      <w:bookmarkStart w:id="0" w:name="OLE_LINK7"/>
      <w:bookmarkStart w:id="1" w:name="OLE_LINK8"/>
      <w:bookmarkStart w:id="2" w:name="OLE_LINK9"/>
      <w:r>
        <w:rPr>
          <w:rFonts w:ascii="Arial" w:hAnsi="Arial" w:cs="Arial"/>
          <w:bCs/>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3867150</wp:posOffset>
                </wp:positionH>
                <wp:positionV relativeFrom="paragraph">
                  <wp:posOffset>977265</wp:posOffset>
                </wp:positionV>
                <wp:extent cx="2524125" cy="293116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9311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E2A51" w:rsidRPr="002E2A51" w:rsidRDefault="003675E7" w:rsidP="002E2A51">
                            <w:pPr>
                              <w:jc w:val="both"/>
                              <w:rPr>
                                <w:b/>
                                <w:color w:val="000000"/>
                                <w:sz w:val="18"/>
                                <w:szCs w:val="18"/>
                              </w:rPr>
                            </w:pPr>
                            <w:r>
                              <w:rPr>
                                <w:b/>
                                <w:noProof/>
                                <w:color w:val="000000"/>
                                <w:sz w:val="18"/>
                                <w:szCs w:val="18"/>
                                <w:lang w:eastAsia="en-US"/>
                              </w:rPr>
                              <w:drawing>
                                <wp:inline distT="0" distB="0" distL="0" distR="0">
                                  <wp:extent cx="2336800" cy="17780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1778000"/>
                                          </a:xfrm>
                                          <a:prstGeom prst="rect">
                                            <a:avLst/>
                                          </a:prstGeom>
                                          <a:noFill/>
                                          <a:ln>
                                            <a:noFill/>
                                          </a:ln>
                                        </pic:spPr>
                                      </pic:pic>
                                    </a:graphicData>
                                  </a:graphic>
                                </wp:inline>
                              </w:drawing>
                            </w:r>
                          </w:p>
                          <w:p w:rsidR="002E2A51" w:rsidRPr="002E2A51" w:rsidRDefault="002E2A51" w:rsidP="002E2A51">
                            <w:pPr>
                              <w:rPr>
                                <w:rFonts w:ascii="Arial" w:hAnsi="Arial" w:cs="Arial"/>
                                <w:color w:val="000000"/>
                                <w:sz w:val="18"/>
                                <w:szCs w:val="18"/>
                              </w:rPr>
                            </w:pPr>
                            <w:proofErr w:type="gramStart"/>
                            <w:r w:rsidRPr="002E2A51">
                              <w:rPr>
                                <w:rFonts w:ascii="Arial" w:hAnsi="Arial" w:cs="Arial"/>
                                <w:b/>
                                <w:color w:val="000000"/>
                                <w:sz w:val="18"/>
                                <w:szCs w:val="18"/>
                              </w:rPr>
                              <w:t>Fig. 1.</w:t>
                            </w:r>
                            <w:proofErr w:type="gramEnd"/>
                            <w:r w:rsidRPr="002E2A51">
                              <w:rPr>
                                <w:rFonts w:ascii="Arial" w:hAnsi="Arial" w:cs="Arial"/>
                                <w:b/>
                                <w:color w:val="000000"/>
                                <w:sz w:val="18"/>
                                <w:szCs w:val="18"/>
                              </w:rPr>
                              <w:t xml:space="preserve"> </w:t>
                            </w:r>
                            <w:r w:rsidRPr="002E2A51">
                              <w:rPr>
                                <w:rFonts w:ascii="Arial" w:hAnsi="Arial" w:cs="Arial"/>
                                <w:color w:val="000000"/>
                                <w:sz w:val="18"/>
                                <w:szCs w:val="18"/>
                              </w:rPr>
                              <w:t>(A) AA1 binds to the bacterial membrane through electrostatic and hydrophobic interactions and disrupts the membrane; (B) Membrane disruption releases the inner contents of bacterial-mimic anionic liposomes; (C) AA1 bin</w:t>
                            </w:r>
                            <w:bookmarkStart w:id="3" w:name="_GoBack"/>
                            <w:bookmarkEnd w:id="3"/>
                            <w:r w:rsidRPr="002E2A51">
                              <w:rPr>
                                <w:rFonts w:ascii="Arial" w:hAnsi="Arial" w:cs="Arial"/>
                                <w:color w:val="000000"/>
                                <w:sz w:val="18"/>
                                <w:szCs w:val="18"/>
                              </w:rPr>
                              <w:t>ding induced membrane thinning is suggested by the EPR depth p</w:t>
                            </w:r>
                            <w:r w:rsidR="00574F58">
                              <w:rPr>
                                <w:rFonts w:ascii="Arial" w:hAnsi="Arial" w:cs="Arial"/>
                                <w:color w:val="000000"/>
                                <w:sz w:val="18"/>
                                <w:szCs w:val="18"/>
                              </w:rPr>
                              <w:t>arameter changes of 7-PC, 10-PC.</w:t>
                            </w:r>
                            <w:r w:rsidRPr="002E2A51">
                              <w:rPr>
                                <w:rFonts w:ascii="Arial" w:hAnsi="Arial" w:cs="Arial"/>
                                <w:color w:val="000000"/>
                                <w:sz w:val="18"/>
                                <w:szCs w:val="18"/>
                              </w:rPr>
                              <w:t xml:space="preserve"> </w:t>
                            </w:r>
                            <w:proofErr w:type="gramStart"/>
                            <w:r w:rsidRPr="002E2A51">
                              <w:rPr>
                                <w:rFonts w:ascii="Arial" w:hAnsi="Arial" w:cs="Arial"/>
                                <w:color w:val="000000"/>
                                <w:sz w:val="18"/>
                                <w:szCs w:val="18"/>
                              </w:rPr>
                              <w:t>and</w:t>
                            </w:r>
                            <w:proofErr w:type="gramEnd"/>
                            <w:r w:rsidRPr="002E2A51">
                              <w:rPr>
                                <w:rFonts w:ascii="Arial" w:hAnsi="Arial" w:cs="Arial"/>
                                <w:color w:val="000000"/>
                                <w:sz w:val="18"/>
                                <w:szCs w:val="18"/>
                              </w:rPr>
                              <w:t xml:space="preserve"> 12-PC in  POPC/POPG liposomes.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4.5pt;margin-top:76.95pt;width:198.75pt;height:23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jl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" stroked="f" strokeweight=".5pt">
                <v:textbox>
                  <w:txbxContent>
                    <w:p w:rsidR="002E2A51" w:rsidRPr="002E2A51" w:rsidRDefault="003675E7" w:rsidP="002E2A51">
                      <w:pPr>
                        <w:jc w:val="both"/>
                        <w:rPr>
                          <w:b/>
                          <w:color w:val="000000"/>
                          <w:sz w:val="18"/>
                          <w:szCs w:val="18"/>
                        </w:rPr>
                      </w:pPr>
                      <w:r>
                        <w:rPr>
                          <w:b/>
                          <w:noProof/>
                          <w:color w:val="000000"/>
                          <w:sz w:val="18"/>
                          <w:szCs w:val="18"/>
                          <w:lang w:eastAsia="en-US"/>
                        </w:rPr>
                        <w:drawing>
                          <wp:inline distT="0" distB="0" distL="0" distR="0">
                            <wp:extent cx="2336800" cy="1778000"/>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1778000"/>
                                    </a:xfrm>
                                    <a:prstGeom prst="rect">
                                      <a:avLst/>
                                    </a:prstGeom>
                                    <a:noFill/>
                                    <a:ln>
                                      <a:noFill/>
                                    </a:ln>
                                  </pic:spPr>
                                </pic:pic>
                              </a:graphicData>
                            </a:graphic>
                          </wp:inline>
                        </w:drawing>
                      </w:r>
                    </w:p>
                    <w:p w:rsidR="002E2A51" w:rsidRPr="002E2A51" w:rsidRDefault="002E2A51" w:rsidP="002E2A51">
                      <w:pPr>
                        <w:rPr>
                          <w:rFonts w:ascii="Arial" w:hAnsi="Arial" w:cs="Arial"/>
                          <w:color w:val="000000"/>
                          <w:sz w:val="18"/>
                          <w:szCs w:val="18"/>
                        </w:rPr>
                      </w:pPr>
                      <w:proofErr w:type="gramStart"/>
                      <w:r w:rsidRPr="002E2A51">
                        <w:rPr>
                          <w:rFonts w:ascii="Arial" w:hAnsi="Arial" w:cs="Arial"/>
                          <w:b/>
                          <w:color w:val="000000"/>
                          <w:sz w:val="18"/>
                          <w:szCs w:val="18"/>
                        </w:rPr>
                        <w:t>Fig. 1.</w:t>
                      </w:r>
                      <w:proofErr w:type="gramEnd"/>
                      <w:r w:rsidRPr="002E2A51">
                        <w:rPr>
                          <w:rFonts w:ascii="Arial" w:hAnsi="Arial" w:cs="Arial"/>
                          <w:b/>
                          <w:color w:val="000000"/>
                          <w:sz w:val="18"/>
                          <w:szCs w:val="18"/>
                        </w:rPr>
                        <w:t xml:space="preserve"> </w:t>
                      </w:r>
                      <w:r w:rsidRPr="002E2A51">
                        <w:rPr>
                          <w:rFonts w:ascii="Arial" w:hAnsi="Arial" w:cs="Arial"/>
                          <w:color w:val="000000"/>
                          <w:sz w:val="18"/>
                          <w:szCs w:val="18"/>
                        </w:rPr>
                        <w:t>(A) AA1 binds to the bacterial membrane through electrostatic and hydrophobic interactions and disrupts the membrane; (B) Membrane disruption releases the inner contents of bacterial-mimic anionic liposomes; (C) AA1 bin</w:t>
                      </w:r>
                      <w:bookmarkStart w:id="4" w:name="_GoBack"/>
                      <w:bookmarkEnd w:id="4"/>
                      <w:r w:rsidRPr="002E2A51">
                        <w:rPr>
                          <w:rFonts w:ascii="Arial" w:hAnsi="Arial" w:cs="Arial"/>
                          <w:color w:val="000000"/>
                          <w:sz w:val="18"/>
                          <w:szCs w:val="18"/>
                        </w:rPr>
                        <w:t>ding induced membrane thinning is suggested by the EPR depth p</w:t>
                      </w:r>
                      <w:r w:rsidR="00574F58">
                        <w:rPr>
                          <w:rFonts w:ascii="Arial" w:hAnsi="Arial" w:cs="Arial"/>
                          <w:color w:val="000000"/>
                          <w:sz w:val="18"/>
                          <w:szCs w:val="18"/>
                        </w:rPr>
                        <w:t>arameter changes of 7-PC, 10-PC.</w:t>
                      </w:r>
                      <w:r w:rsidRPr="002E2A51">
                        <w:rPr>
                          <w:rFonts w:ascii="Arial" w:hAnsi="Arial" w:cs="Arial"/>
                          <w:color w:val="000000"/>
                          <w:sz w:val="18"/>
                          <w:szCs w:val="18"/>
                        </w:rPr>
                        <w:t xml:space="preserve"> </w:t>
                      </w:r>
                      <w:proofErr w:type="gramStart"/>
                      <w:r w:rsidRPr="002E2A51">
                        <w:rPr>
                          <w:rFonts w:ascii="Arial" w:hAnsi="Arial" w:cs="Arial"/>
                          <w:color w:val="000000"/>
                          <w:sz w:val="18"/>
                          <w:szCs w:val="18"/>
                        </w:rPr>
                        <w:t>and</w:t>
                      </w:r>
                      <w:proofErr w:type="gramEnd"/>
                      <w:r w:rsidRPr="002E2A51">
                        <w:rPr>
                          <w:rFonts w:ascii="Arial" w:hAnsi="Arial" w:cs="Arial"/>
                          <w:color w:val="000000"/>
                          <w:sz w:val="18"/>
                          <w:szCs w:val="18"/>
                        </w:rPr>
                        <w:t xml:space="preserve"> 12-PC in  POPC/POPG liposomes.</w:t>
                      </w:r>
                    </w:p>
                  </w:txbxContent>
                </v:textbox>
                <w10:wrap type="square"/>
              </v:shape>
            </w:pict>
          </mc:Fallback>
        </mc:AlternateContent>
      </w:r>
      <w:r w:rsidR="002E2A51">
        <w:rPr>
          <w:rFonts w:ascii="Arial" w:hAnsi="Arial" w:cs="Arial"/>
          <w:sz w:val="20"/>
          <w:szCs w:val="20"/>
        </w:rPr>
        <w:t xml:space="preserve">    </w:t>
      </w:r>
      <w:proofErr w:type="gramStart"/>
      <w:r w:rsidR="002E2A51" w:rsidRPr="00480D52">
        <w:rPr>
          <w:rFonts w:ascii="Arial" w:hAnsi="Arial" w:cs="Arial"/>
          <w:sz w:val="20"/>
          <w:szCs w:val="20"/>
        </w:rPr>
        <w:t>γ-</w:t>
      </w:r>
      <w:proofErr w:type="spellStart"/>
      <w:r w:rsidR="002E2A51" w:rsidRPr="00480D52">
        <w:rPr>
          <w:rFonts w:ascii="Arial" w:hAnsi="Arial" w:cs="Arial"/>
          <w:sz w:val="20"/>
          <w:szCs w:val="20"/>
        </w:rPr>
        <w:t>AApeptides</w:t>
      </w:r>
      <w:proofErr w:type="spellEnd"/>
      <w:proofErr w:type="gramEnd"/>
      <w:r w:rsidR="002E2A51" w:rsidRPr="00480D52">
        <w:rPr>
          <w:rFonts w:ascii="Arial" w:hAnsi="Arial" w:cs="Arial"/>
          <w:sz w:val="20"/>
          <w:szCs w:val="20"/>
        </w:rPr>
        <w:t xml:space="preserve"> </w:t>
      </w:r>
      <w:bookmarkEnd w:id="0"/>
      <w:bookmarkEnd w:id="1"/>
      <w:bookmarkEnd w:id="2"/>
      <w:r w:rsidR="002E2A51" w:rsidRPr="00480D52">
        <w:rPr>
          <w:rFonts w:ascii="Arial" w:hAnsi="Arial" w:cs="Arial"/>
          <w:sz w:val="20"/>
          <w:szCs w:val="20"/>
        </w:rPr>
        <w:t xml:space="preserve">are a new class of antibacterial </w:t>
      </w:r>
      <w:proofErr w:type="spellStart"/>
      <w:r w:rsidR="002E2A51" w:rsidRPr="00480D52">
        <w:rPr>
          <w:rFonts w:ascii="Arial" w:hAnsi="Arial" w:cs="Arial"/>
          <w:sz w:val="20"/>
          <w:szCs w:val="20"/>
        </w:rPr>
        <w:t>peptidomimetics</w:t>
      </w:r>
      <w:proofErr w:type="spellEnd"/>
      <w:r w:rsidR="002E2A51" w:rsidRPr="00480D52">
        <w:rPr>
          <w:rFonts w:ascii="Arial" w:hAnsi="Arial" w:cs="Arial"/>
          <w:sz w:val="20"/>
          <w:szCs w:val="20"/>
        </w:rPr>
        <w:t xml:space="preserve"> that are not prone to antibiotic resistance and are highly resistant to protease degradation. </w:t>
      </w:r>
      <w:r w:rsidR="002E2A51">
        <w:rPr>
          <w:rFonts w:ascii="Arial" w:hAnsi="Arial" w:cs="Arial"/>
          <w:sz w:val="20"/>
          <w:szCs w:val="20"/>
        </w:rPr>
        <w:t>Understanding h</w:t>
      </w:r>
      <w:r w:rsidR="002E2A51" w:rsidRPr="00480D52">
        <w:rPr>
          <w:rFonts w:ascii="Arial" w:hAnsi="Arial" w:cs="Arial"/>
          <w:sz w:val="20"/>
          <w:szCs w:val="20"/>
        </w:rPr>
        <w:t>ow γ-</w:t>
      </w:r>
      <w:proofErr w:type="spellStart"/>
      <w:r w:rsidR="002E2A51" w:rsidRPr="00480D52">
        <w:rPr>
          <w:rFonts w:ascii="Arial" w:hAnsi="Arial" w:cs="Arial"/>
          <w:sz w:val="20"/>
          <w:szCs w:val="20"/>
        </w:rPr>
        <w:t>AApeptides</w:t>
      </w:r>
      <w:proofErr w:type="spellEnd"/>
      <w:r w:rsidR="002E2A51" w:rsidRPr="00480D52">
        <w:rPr>
          <w:rFonts w:ascii="Arial" w:hAnsi="Arial" w:cs="Arial"/>
          <w:sz w:val="20"/>
          <w:szCs w:val="20"/>
        </w:rPr>
        <w:t xml:space="preserve"> interact with bacterial membranes and alter lipid assembly is essential to understanding their antimicrobial activities and guiding future design of more potent and specific antimicrobial agents. Using electron paramagnetic resonance </w:t>
      </w:r>
      <w:r w:rsidR="002E2A51">
        <w:rPr>
          <w:rFonts w:ascii="Arial" w:hAnsi="Arial" w:cs="Arial"/>
          <w:sz w:val="20"/>
          <w:szCs w:val="20"/>
        </w:rPr>
        <w:t xml:space="preserve">(EPR) </w:t>
      </w:r>
      <w:r w:rsidR="002E2A51" w:rsidRPr="00480D52">
        <w:rPr>
          <w:rFonts w:ascii="Arial" w:hAnsi="Arial" w:cs="Arial"/>
          <w:sz w:val="20"/>
          <w:szCs w:val="20"/>
        </w:rPr>
        <w:t>techniques</w:t>
      </w:r>
      <w:r w:rsidR="002E2A51">
        <w:rPr>
          <w:rFonts w:ascii="Arial" w:hAnsi="Arial" w:cs="Arial"/>
          <w:sz w:val="20"/>
          <w:szCs w:val="20"/>
        </w:rPr>
        <w:t xml:space="preserve"> at 9 and 94 GHz</w:t>
      </w:r>
      <w:r w:rsidR="002E2A51" w:rsidRPr="00480D52">
        <w:rPr>
          <w:rFonts w:ascii="Arial" w:hAnsi="Arial" w:cs="Arial"/>
          <w:sz w:val="20"/>
          <w:szCs w:val="20"/>
        </w:rPr>
        <w:t xml:space="preserve">, we characterized the membrane interaction and destabilizing mechanism of a </w:t>
      </w:r>
      <w:proofErr w:type="spellStart"/>
      <w:r w:rsidR="002E2A51" w:rsidRPr="00480D52">
        <w:rPr>
          <w:rFonts w:ascii="Arial" w:hAnsi="Arial" w:cs="Arial"/>
          <w:sz w:val="20"/>
          <w:szCs w:val="20"/>
        </w:rPr>
        <w:t>lipo</w:t>
      </w:r>
      <w:proofErr w:type="spellEnd"/>
      <w:r w:rsidR="002E2A51" w:rsidRPr="00480D52">
        <w:rPr>
          <w:rFonts w:ascii="Arial" w:hAnsi="Arial" w:cs="Arial"/>
          <w:sz w:val="20"/>
          <w:szCs w:val="20"/>
        </w:rPr>
        <w:t>-cyclic-γ-</w:t>
      </w:r>
      <w:proofErr w:type="spellStart"/>
      <w:r w:rsidR="002E2A51" w:rsidRPr="00480D52">
        <w:rPr>
          <w:rFonts w:ascii="Arial" w:hAnsi="Arial" w:cs="Arial"/>
          <w:sz w:val="20"/>
          <w:szCs w:val="20"/>
        </w:rPr>
        <w:t>AApeptide</w:t>
      </w:r>
      <w:proofErr w:type="spellEnd"/>
      <w:r w:rsidR="002E2A51" w:rsidRPr="00480D52">
        <w:rPr>
          <w:rFonts w:ascii="Arial" w:hAnsi="Arial" w:cs="Arial"/>
          <w:sz w:val="20"/>
          <w:szCs w:val="20"/>
        </w:rPr>
        <w:t xml:space="preserve"> (AA1), which has broad-spectrum antibacterial activities</w:t>
      </w:r>
      <w:r w:rsidR="002E2A51">
        <w:rPr>
          <w:rFonts w:ascii="Arial" w:hAnsi="Arial" w:cs="Arial"/>
          <w:sz w:val="20"/>
          <w:szCs w:val="20"/>
        </w:rPr>
        <w:t xml:space="preserve">. </w:t>
      </w:r>
      <w:r w:rsidR="002E2A51" w:rsidRPr="00480D52">
        <w:rPr>
          <w:rFonts w:ascii="Arial" w:hAnsi="Arial" w:cs="Arial"/>
          <w:sz w:val="20"/>
          <w:szCs w:val="20"/>
        </w:rPr>
        <w:t xml:space="preserve">Our findings suggest that AA1 interacts and disrupts bacterial membranes through a “carpet-like” mechanism. </w:t>
      </w:r>
    </w:p>
    <w:p w:rsidR="002E2A51" w:rsidRPr="006B3824" w:rsidRDefault="002E2A51" w:rsidP="002E2A51">
      <w:pPr>
        <w:tabs>
          <w:tab w:val="left" w:pos="360"/>
        </w:tabs>
        <w:rPr>
          <w:rFonts w:ascii="Arial" w:hAnsi="Arial" w:cs="Arial"/>
          <w:sz w:val="20"/>
          <w:szCs w:val="20"/>
        </w:rPr>
      </w:pPr>
      <w:r>
        <w:rPr>
          <w:rFonts w:ascii="Arial" w:hAnsi="Arial" w:cs="Arial"/>
          <w:sz w:val="20"/>
          <w:szCs w:val="20"/>
        </w:rPr>
        <w:tab/>
      </w:r>
      <w:r w:rsidRPr="006B3824">
        <w:rPr>
          <w:rFonts w:ascii="Arial" w:hAnsi="Arial" w:cs="Arial"/>
          <w:sz w:val="20"/>
          <w:szCs w:val="20"/>
        </w:rPr>
        <w:t xml:space="preserve"> </w:t>
      </w:r>
    </w:p>
    <w:p w:rsidR="002E2A51" w:rsidRDefault="002E2A51" w:rsidP="002E2A51">
      <w:pPr>
        <w:tabs>
          <w:tab w:val="left" w:pos="360"/>
        </w:tabs>
      </w:pPr>
      <w:r w:rsidRPr="006B3824">
        <w:rPr>
          <w:rFonts w:ascii="Arial" w:hAnsi="Arial" w:cs="Arial"/>
          <w:b/>
          <w:sz w:val="20"/>
          <w:szCs w:val="20"/>
        </w:rPr>
        <w:t>Experimental</w:t>
      </w:r>
      <w:r>
        <w:rPr>
          <w:rFonts w:ascii="Arial" w:hAnsi="Arial" w:cs="Arial"/>
          <w:b/>
          <w:sz w:val="20"/>
          <w:szCs w:val="20"/>
        </w:rPr>
        <w:t xml:space="preserve"> </w:t>
      </w:r>
    </w:p>
    <w:p w:rsidR="002E2A51" w:rsidRDefault="002E2A51" w:rsidP="002E2A51">
      <w:pPr>
        <w:tabs>
          <w:tab w:val="left" w:pos="360"/>
        </w:tabs>
        <w:rPr>
          <w:rFonts w:ascii="Arial" w:hAnsi="Arial" w:cs="Arial"/>
          <w:sz w:val="20"/>
          <w:szCs w:val="20"/>
        </w:rPr>
      </w:pPr>
      <w:r>
        <w:rPr>
          <w:rFonts w:ascii="Arial" w:hAnsi="Arial" w:cs="Arial"/>
          <w:sz w:val="20"/>
          <w:szCs w:val="20"/>
        </w:rPr>
        <w:t xml:space="preserve">    </w:t>
      </w:r>
      <w:r w:rsidRPr="00FD0CBA">
        <w:rPr>
          <w:rFonts w:ascii="Arial" w:hAnsi="Arial" w:cs="Arial"/>
          <w:sz w:val="20"/>
          <w:szCs w:val="20"/>
        </w:rPr>
        <w:t>Liposomes formed from a mixture of neutral lipids (POPC) with anionic lipids (POPG) were used to mimic bacterial membrane</w:t>
      </w:r>
      <w:r>
        <w:rPr>
          <w:rFonts w:ascii="Arial" w:hAnsi="Arial" w:cs="Arial"/>
          <w:sz w:val="20"/>
          <w:szCs w:val="20"/>
        </w:rPr>
        <w:t>s. Eukaryotic-</w:t>
      </w:r>
      <w:r w:rsidRPr="00FD0CBA">
        <w:rPr>
          <w:rFonts w:ascii="Arial" w:hAnsi="Arial" w:cs="Arial"/>
          <w:sz w:val="20"/>
          <w:szCs w:val="20"/>
        </w:rPr>
        <w:t>membrane</w:t>
      </w:r>
      <w:r>
        <w:rPr>
          <w:rFonts w:ascii="Arial" w:hAnsi="Arial" w:cs="Arial"/>
          <w:sz w:val="20"/>
          <w:szCs w:val="20"/>
        </w:rPr>
        <w:t>-mimic liposomes contain POPC with c</w:t>
      </w:r>
      <w:r w:rsidRPr="00FD0CBA">
        <w:rPr>
          <w:rFonts w:ascii="Arial" w:hAnsi="Arial" w:cs="Arial"/>
          <w:sz w:val="20"/>
          <w:szCs w:val="20"/>
        </w:rPr>
        <w:t xml:space="preserve">holesterol. Trace amounts of spin labeled lipids </w:t>
      </w:r>
      <w:r>
        <w:rPr>
          <w:rFonts w:ascii="Arial" w:hAnsi="Arial" w:cs="Arial"/>
          <w:sz w:val="20"/>
          <w:szCs w:val="20"/>
        </w:rPr>
        <w:t xml:space="preserve">at different bilayer positions </w:t>
      </w:r>
      <w:r w:rsidRPr="00FD0CBA">
        <w:rPr>
          <w:rFonts w:ascii="Arial" w:hAnsi="Arial" w:cs="Arial"/>
          <w:sz w:val="20"/>
          <w:szCs w:val="20"/>
        </w:rPr>
        <w:t>(N-</w:t>
      </w:r>
      <w:r>
        <w:rPr>
          <w:rFonts w:ascii="Arial" w:hAnsi="Arial" w:cs="Arial"/>
          <w:sz w:val="20"/>
          <w:szCs w:val="20"/>
        </w:rPr>
        <w:t>TP, T</w:t>
      </w:r>
      <w:r w:rsidRPr="00FD0CBA">
        <w:rPr>
          <w:rFonts w:ascii="Arial" w:hAnsi="Arial" w:cs="Arial"/>
          <w:sz w:val="20"/>
          <w:szCs w:val="20"/>
        </w:rPr>
        <w:t>-PC</w:t>
      </w:r>
      <w:r>
        <w:rPr>
          <w:rFonts w:ascii="Arial" w:hAnsi="Arial" w:cs="Arial"/>
          <w:sz w:val="20"/>
          <w:szCs w:val="20"/>
        </w:rPr>
        <w:t>, 5-PC, 7-PC, 10-PC, 12-PC</w:t>
      </w:r>
      <w:r w:rsidRPr="00FD0CBA">
        <w:rPr>
          <w:rFonts w:ascii="Arial" w:hAnsi="Arial" w:cs="Arial"/>
          <w:sz w:val="20"/>
          <w:szCs w:val="20"/>
        </w:rPr>
        <w:t xml:space="preserve"> and 5</w:t>
      </w:r>
      <w:r>
        <w:rPr>
          <w:rFonts w:ascii="Arial" w:hAnsi="Arial" w:cs="Arial"/>
          <w:sz w:val="20"/>
          <w:szCs w:val="20"/>
        </w:rPr>
        <w:t>-</w:t>
      </w:r>
      <w:r w:rsidRPr="00FD0CBA">
        <w:rPr>
          <w:rFonts w:ascii="Arial" w:hAnsi="Arial" w:cs="Arial"/>
          <w:sz w:val="20"/>
          <w:szCs w:val="20"/>
        </w:rPr>
        <w:t>SASL) were used to probe membrane property changes.</w:t>
      </w:r>
      <w:r>
        <w:rPr>
          <w:rFonts w:ascii="Arial" w:hAnsi="Arial" w:cs="Arial"/>
          <w:bCs/>
        </w:rPr>
        <w:t xml:space="preserve"> </w:t>
      </w:r>
      <w:r w:rsidRPr="00480D52">
        <w:rPr>
          <w:rFonts w:ascii="Arial" w:hAnsi="Arial" w:cs="Arial"/>
          <w:bCs/>
          <w:sz w:val="20"/>
          <w:szCs w:val="20"/>
        </w:rPr>
        <w:t>The</w:t>
      </w:r>
      <w:r w:rsidRPr="00480D52">
        <w:rPr>
          <w:rFonts w:ascii="Arial" w:hAnsi="Arial" w:cs="Arial"/>
          <w:b/>
          <w:sz w:val="20"/>
          <w:szCs w:val="20"/>
        </w:rPr>
        <w:t xml:space="preserve"> </w:t>
      </w:r>
      <w:r w:rsidRPr="00480D52">
        <w:rPr>
          <w:rFonts w:ascii="Arial" w:hAnsi="Arial" w:cs="Arial"/>
          <w:sz w:val="20"/>
          <w:szCs w:val="20"/>
        </w:rPr>
        <w:t>measurements were carried out on a Bruker E680 X-/W-band continuous wave (C</w:t>
      </w:r>
      <w:r>
        <w:rPr>
          <w:rFonts w:ascii="Arial" w:hAnsi="Arial" w:cs="Arial"/>
          <w:sz w:val="20"/>
          <w:szCs w:val="20"/>
        </w:rPr>
        <w:t xml:space="preserve">W) and pulsed EPR spectrometer and </w:t>
      </w:r>
      <w:r w:rsidRPr="00480D52">
        <w:rPr>
          <w:rFonts w:ascii="Arial" w:hAnsi="Arial" w:cs="Arial"/>
          <w:sz w:val="20"/>
          <w:szCs w:val="20"/>
        </w:rPr>
        <w:t>W-band 94 GHz CW and pulsed EPR spectrometer (</w:t>
      </w:r>
      <w:proofErr w:type="spellStart"/>
      <w:r w:rsidRPr="00480D52">
        <w:rPr>
          <w:rFonts w:ascii="Arial" w:hAnsi="Arial" w:cs="Arial"/>
          <w:sz w:val="20"/>
          <w:szCs w:val="20"/>
        </w:rPr>
        <w:t>HiPER</w:t>
      </w:r>
      <w:proofErr w:type="spellEnd"/>
      <w:r w:rsidRPr="00480D52">
        <w:rPr>
          <w:rFonts w:ascii="Arial" w:hAnsi="Arial" w:cs="Arial"/>
          <w:sz w:val="20"/>
          <w:szCs w:val="20"/>
        </w:rPr>
        <w:t>)</w:t>
      </w:r>
      <w:r>
        <w:rPr>
          <w:rFonts w:ascii="Arial" w:hAnsi="Arial" w:cs="Arial"/>
          <w:sz w:val="20"/>
          <w:szCs w:val="20"/>
        </w:rPr>
        <w:t xml:space="preserve"> </w:t>
      </w:r>
      <w:r w:rsidRPr="00480D52">
        <w:rPr>
          <w:rFonts w:ascii="Arial" w:hAnsi="Arial" w:cs="Arial"/>
          <w:sz w:val="20"/>
          <w:szCs w:val="20"/>
        </w:rPr>
        <w:t xml:space="preserve">at the </w:t>
      </w:r>
      <w:r>
        <w:rPr>
          <w:rFonts w:ascii="Arial" w:hAnsi="Arial" w:cs="Arial"/>
          <w:sz w:val="20"/>
          <w:szCs w:val="20"/>
        </w:rPr>
        <w:t xml:space="preserve">NHMFL. </w:t>
      </w:r>
      <w:r w:rsidRPr="00480D52">
        <w:rPr>
          <w:rFonts w:ascii="Arial" w:hAnsi="Arial" w:cs="Arial"/>
          <w:sz w:val="20"/>
          <w:szCs w:val="20"/>
        </w:rPr>
        <w:t xml:space="preserve">The sample holder </w:t>
      </w:r>
      <w:r>
        <w:rPr>
          <w:rFonts w:ascii="Arial" w:hAnsi="Arial" w:cs="Arial"/>
          <w:sz w:val="20"/>
          <w:szCs w:val="20"/>
        </w:rPr>
        <w:t xml:space="preserve">for </w:t>
      </w:r>
      <w:proofErr w:type="spellStart"/>
      <w:r>
        <w:rPr>
          <w:rFonts w:ascii="Arial" w:hAnsi="Arial" w:cs="Arial"/>
          <w:sz w:val="20"/>
          <w:szCs w:val="20"/>
        </w:rPr>
        <w:t>HiPER</w:t>
      </w:r>
      <w:proofErr w:type="spellEnd"/>
      <w:r>
        <w:rPr>
          <w:rFonts w:ascii="Arial" w:hAnsi="Arial" w:cs="Arial"/>
          <w:sz w:val="20"/>
          <w:szCs w:val="20"/>
        </w:rPr>
        <w:t xml:space="preserve"> was fabricated in </w:t>
      </w:r>
      <w:r w:rsidRPr="00480D52">
        <w:rPr>
          <w:rFonts w:ascii="Arial" w:hAnsi="Arial" w:cs="Arial"/>
          <w:sz w:val="20"/>
          <w:szCs w:val="20"/>
        </w:rPr>
        <w:t xml:space="preserve">house by the NHMFL machine shop. </w:t>
      </w:r>
    </w:p>
    <w:p w:rsidR="002E2A51" w:rsidRPr="006B3824" w:rsidRDefault="002E2A51" w:rsidP="002E2A51">
      <w:pPr>
        <w:tabs>
          <w:tab w:val="left" w:pos="360"/>
        </w:tabs>
        <w:rPr>
          <w:rFonts w:ascii="Arial" w:hAnsi="Arial" w:cs="Arial"/>
          <w:sz w:val="20"/>
          <w:szCs w:val="20"/>
        </w:rPr>
      </w:pPr>
      <w:r>
        <w:rPr>
          <w:rFonts w:ascii="Arial" w:hAnsi="Arial" w:cs="Arial"/>
          <w:sz w:val="20"/>
          <w:szCs w:val="20"/>
        </w:rPr>
        <w:t xml:space="preserve"> </w:t>
      </w:r>
    </w:p>
    <w:p w:rsidR="002E2A51" w:rsidRDefault="002E2A51" w:rsidP="002E2A51">
      <w:pPr>
        <w:tabs>
          <w:tab w:val="left" w:pos="360"/>
        </w:tabs>
        <w:rPr>
          <w:rFonts w:ascii="Arial" w:hAnsi="Arial" w:cs="Arial"/>
          <w:b/>
          <w:sz w:val="20"/>
          <w:szCs w:val="20"/>
        </w:rPr>
      </w:pPr>
      <w:r w:rsidRPr="006B3824">
        <w:rPr>
          <w:rFonts w:ascii="Arial" w:hAnsi="Arial" w:cs="Arial"/>
          <w:b/>
          <w:sz w:val="20"/>
          <w:szCs w:val="20"/>
        </w:rPr>
        <w:t>Results and Discussion</w:t>
      </w:r>
    </w:p>
    <w:p w:rsidR="002E2A51" w:rsidRPr="00213C60" w:rsidRDefault="002E2A51" w:rsidP="002E2A51">
      <w:pPr>
        <w:tabs>
          <w:tab w:val="left" w:pos="360"/>
        </w:tabs>
        <w:rPr>
          <w:rFonts w:ascii="Arial" w:hAnsi="Arial" w:cs="Arial"/>
          <w:bCs/>
          <w:sz w:val="20"/>
          <w:szCs w:val="20"/>
        </w:rPr>
      </w:pPr>
      <w:r>
        <w:rPr>
          <w:rFonts w:ascii="Arial" w:hAnsi="Arial" w:cs="Arial"/>
          <w:bCs/>
          <w:sz w:val="20"/>
          <w:szCs w:val="20"/>
        </w:rPr>
        <w:t xml:space="preserve">    </w:t>
      </w:r>
      <w:r w:rsidRPr="003C134F">
        <w:rPr>
          <w:rFonts w:ascii="Arial" w:hAnsi="Arial" w:cs="Arial"/>
          <w:bCs/>
          <w:sz w:val="20"/>
          <w:szCs w:val="20"/>
        </w:rPr>
        <w:t>The analyses revealed that AA1 binding increases the membrane perm</w:t>
      </w:r>
      <w:r>
        <w:rPr>
          <w:rFonts w:ascii="Arial" w:hAnsi="Arial" w:cs="Arial"/>
          <w:bCs/>
          <w:sz w:val="20"/>
          <w:szCs w:val="20"/>
        </w:rPr>
        <w:t>eability of POPC/POPG liposomes (</w:t>
      </w:r>
      <w:r w:rsidRPr="003F2C93">
        <w:rPr>
          <w:rFonts w:ascii="Arial" w:hAnsi="Arial" w:cs="Arial"/>
          <w:b/>
          <w:bCs/>
          <w:sz w:val="20"/>
          <w:szCs w:val="20"/>
        </w:rPr>
        <w:t>Fig. 1</w:t>
      </w:r>
      <w:r>
        <w:rPr>
          <w:rFonts w:ascii="Arial" w:hAnsi="Arial" w:cs="Arial"/>
          <w:bCs/>
          <w:sz w:val="20"/>
          <w:szCs w:val="20"/>
        </w:rPr>
        <w:t>)</w:t>
      </w:r>
      <w:r w:rsidRPr="003C134F">
        <w:rPr>
          <w:rFonts w:ascii="Arial" w:hAnsi="Arial" w:cs="Arial"/>
          <w:bCs/>
          <w:sz w:val="20"/>
          <w:szCs w:val="20"/>
        </w:rPr>
        <w:t>. AA1 binding also inhibits membrane fluidity and reduces solvent accessibility around the lipid head-group region. Moreover, AA1 interacts strongly with POPC/POPG liposomes, inducing significant lipid lateral-ordering and membrane thinning. In contrast, minimal membrane property changes were observed upon AA1 binding for liposomes mimicking mammalian cell membranes</w:t>
      </w:r>
      <w:r>
        <w:rPr>
          <w:rFonts w:ascii="Arial" w:hAnsi="Arial" w:cs="Arial"/>
          <w:bCs/>
          <w:sz w:val="20"/>
          <w:szCs w:val="20"/>
        </w:rPr>
        <w:t xml:space="preserve"> with</w:t>
      </w:r>
      <w:r w:rsidRPr="003C134F">
        <w:rPr>
          <w:rFonts w:ascii="Arial" w:hAnsi="Arial" w:cs="Arial"/>
          <w:bCs/>
          <w:sz w:val="20"/>
          <w:szCs w:val="20"/>
        </w:rPr>
        <w:t xml:space="preserve"> neutral lipids and cholesterol. </w:t>
      </w:r>
      <w:r>
        <w:rPr>
          <w:rFonts w:ascii="Arial" w:hAnsi="Arial" w:cs="Arial"/>
          <w:bCs/>
          <w:sz w:val="20"/>
          <w:szCs w:val="20"/>
        </w:rPr>
        <w:t>The results suggest that</w:t>
      </w:r>
      <w:r w:rsidRPr="00213C60">
        <w:rPr>
          <w:rFonts w:ascii="Arial" w:hAnsi="Arial" w:cs="Arial"/>
          <w:bCs/>
          <w:sz w:val="20"/>
          <w:szCs w:val="20"/>
        </w:rPr>
        <w:t xml:space="preserve"> the binding of AA1 is initiated by the electrostatic interactions between the cationic side chains of the peptides and the anionic groups in </w:t>
      </w:r>
      <w:r>
        <w:rPr>
          <w:rFonts w:ascii="Arial" w:hAnsi="Arial" w:cs="Arial"/>
          <w:bCs/>
          <w:sz w:val="20"/>
          <w:szCs w:val="20"/>
        </w:rPr>
        <w:t>bacterial membranes. T</w:t>
      </w:r>
      <w:r w:rsidRPr="00213C60">
        <w:rPr>
          <w:rFonts w:ascii="Arial" w:hAnsi="Arial" w:cs="Arial"/>
          <w:bCs/>
          <w:sz w:val="20"/>
          <w:szCs w:val="20"/>
        </w:rPr>
        <w:t xml:space="preserve">he strong </w:t>
      </w:r>
      <w:r>
        <w:rPr>
          <w:rFonts w:ascii="Arial" w:hAnsi="Arial" w:cs="Arial"/>
          <w:bCs/>
          <w:sz w:val="20"/>
          <w:szCs w:val="20"/>
        </w:rPr>
        <w:t xml:space="preserve">AA1-membrane </w:t>
      </w:r>
      <w:r w:rsidRPr="00213C60">
        <w:rPr>
          <w:rFonts w:ascii="Arial" w:hAnsi="Arial" w:cs="Arial"/>
          <w:bCs/>
          <w:sz w:val="20"/>
          <w:szCs w:val="20"/>
        </w:rPr>
        <w:t>interactions decrease the membrane fluidity and increase the ordering of the lipid molecules, resulting in reduced accessibility of lipid head-groups to both polar and nonpolar molecules in the solvent. In addition, the insertion of the bulky hydrophobic groups of the peptide into the membrane may lead to increased lateral pressure, thereby inducing lateral expansion and membrane thinning (</w:t>
      </w:r>
      <w:r w:rsidRPr="003F2C93">
        <w:rPr>
          <w:rFonts w:ascii="Arial" w:hAnsi="Arial" w:cs="Arial"/>
          <w:b/>
          <w:bCs/>
          <w:sz w:val="20"/>
          <w:szCs w:val="20"/>
        </w:rPr>
        <w:t>Fig. 1</w:t>
      </w:r>
      <w:r w:rsidRPr="00213C60">
        <w:rPr>
          <w:rFonts w:ascii="Arial" w:hAnsi="Arial" w:cs="Arial"/>
          <w:bCs/>
          <w:sz w:val="20"/>
          <w:szCs w:val="20"/>
        </w:rPr>
        <w:t>). Furthermore, peptide penetration also creates transient membrane disruption or local disorder, subsequently causing the leakage of cellular content and cell death.</w:t>
      </w:r>
    </w:p>
    <w:p w:rsidR="002E2A51" w:rsidRDefault="002E2A51" w:rsidP="002E2A51">
      <w:pPr>
        <w:tabs>
          <w:tab w:val="left" w:pos="360"/>
        </w:tabs>
        <w:rPr>
          <w:rFonts w:ascii="Arial" w:hAnsi="Arial" w:cs="Arial"/>
          <w:b/>
          <w:sz w:val="20"/>
          <w:szCs w:val="20"/>
        </w:rPr>
      </w:pPr>
    </w:p>
    <w:p w:rsidR="002E2A51" w:rsidRPr="006B3824" w:rsidRDefault="002E2A51" w:rsidP="002E2A51">
      <w:pPr>
        <w:tabs>
          <w:tab w:val="left" w:pos="360"/>
        </w:tabs>
        <w:rPr>
          <w:rFonts w:ascii="Arial" w:hAnsi="Arial" w:cs="Arial"/>
          <w:sz w:val="20"/>
          <w:szCs w:val="20"/>
        </w:rPr>
      </w:pPr>
      <w:r>
        <w:rPr>
          <w:rFonts w:ascii="Arial" w:hAnsi="Arial" w:cs="Arial"/>
          <w:b/>
          <w:sz w:val="20"/>
          <w:szCs w:val="20"/>
        </w:rPr>
        <w:t>C</w:t>
      </w:r>
      <w:r w:rsidRPr="006B3824">
        <w:rPr>
          <w:rFonts w:ascii="Arial" w:hAnsi="Arial" w:cs="Arial"/>
          <w:b/>
          <w:sz w:val="20"/>
          <w:szCs w:val="20"/>
        </w:rPr>
        <w:t>onclusions</w:t>
      </w:r>
    </w:p>
    <w:p w:rsidR="002E2A51" w:rsidRPr="00233464" w:rsidRDefault="002E2A51" w:rsidP="002E2A51">
      <w:pPr>
        <w:tabs>
          <w:tab w:val="left" w:pos="360"/>
        </w:tabs>
        <w:rPr>
          <w:rFonts w:ascii="Arial" w:hAnsi="Arial" w:cs="Arial"/>
          <w:sz w:val="20"/>
          <w:szCs w:val="20"/>
        </w:rPr>
      </w:pPr>
      <w:bookmarkStart w:id="5" w:name="OLE_LINK13"/>
      <w:bookmarkStart w:id="6" w:name="OLE_LINK14"/>
      <w:bookmarkStart w:id="7" w:name="OLE_LINK15"/>
      <w:r>
        <w:rPr>
          <w:rFonts w:ascii="Arial" w:hAnsi="Arial" w:cs="Arial"/>
          <w:sz w:val="20"/>
          <w:szCs w:val="20"/>
        </w:rPr>
        <w:t xml:space="preserve">    </w:t>
      </w:r>
      <w:proofErr w:type="gramStart"/>
      <w:r>
        <w:rPr>
          <w:rFonts w:ascii="Arial" w:hAnsi="Arial" w:cs="Arial"/>
          <w:sz w:val="20"/>
          <w:szCs w:val="20"/>
        </w:rPr>
        <w:t>γ-</w:t>
      </w:r>
      <w:proofErr w:type="spellStart"/>
      <w:r>
        <w:rPr>
          <w:rFonts w:ascii="Arial" w:hAnsi="Arial" w:cs="Arial"/>
          <w:sz w:val="20"/>
          <w:szCs w:val="20"/>
        </w:rPr>
        <w:t>AApeptide</w:t>
      </w:r>
      <w:proofErr w:type="spellEnd"/>
      <w:proofErr w:type="gramEnd"/>
      <w:r>
        <w:rPr>
          <w:rFonts w:ascii="Arial" w:hAnsi="Arial" w:cs="Arial"/>
          <w:sz w:val="20"/>
          <w:szCs w:val="20"/>
        </w:rPr>
        <w:t xml:space="preserve"> </w:t>
      </w:r>
      <w:bookmarkEnd w:id="5"/>
      <w:bookmarkEnd w:id="6"/>
      <w:bookmarkEnd w:id="7"/>
      <w:r w:rsidRPr="00233464">
        <w:rPr>
          <w:rFonts w:ascii="Arial" w:hAnsi="Arial" w:cs="Arial"/>
          <w:sz w:val="20"/>
          <w:szCs w:val="20"/>
        </w:rPr>
        <w:t>selectively permeates and structurally modifies negatively charged bacterial-mimic membranes. In contrast, cholesterol-containing neutral membranes mimicking mammalian cells were minimally affected by the molecule. Based on combined analyses of membrane permeability, dynamics, membrane thinning, and accessibility, we proposed a “carpet-like” mechanism for the antimicrobial activities of AA1. The results provide implications for the development of effective AMPs with robust antibacterial activities against antibiotic-resistant microbes.</w:t>
      </w:r>
    </w:p>
    <w:p w:rsidR="002E2A51" w:rsidRDefault="002E2A51" w:rsidP="002E2A51">
      <w:pPr>
        <w:tabs>
          <w:tab w:val="left" w:pos="360"/>
        </w:tabs>
        <w:rPr>
          <w:rFonts w:ascii="Arial" w:hAnsi="Arial" w:cs="Arial"/>
          <w:sz w:val="20"/>
          <w:szCs w:val="20"/>
        </w:rPr>
      </w:pPr>
      <w:r w:rsidRPr="006B3824">
        <w:rPr>
          <w:rFonts w:ascii="Arial" w:hAnsi="Arial" w:cs="Arial"/>
          <w:sz w:val="20"/>
          <w:szCs w:val="20"/>
        </w:rPr>
        <w:t xml:space="preserve"> </w:t>
      </w:r>
    </w:p>
    <w:p w:rsidR="002E2A51" w:rsidRDefault="002E2A51" w:rsidP="002E2A51">
      <w:pPr>
        <w:tabs>
          <w:tab w:val="left" w:pos="360"/>
        </w:tabs>
        <w:rPr>
          <w:rFonts w:ascii="Arial" w:hAnsi="Arial" w:cs="Arial"/>
          <w:b/>
          <w:sz w:val="20"/>
          <w:szCs w:val="20"/>
        </w:rPr>
      </w:pPr>
      <w:r w:rsidRPr="006B3824">
        <w:rPr>
          <w:rFonts w:ascii="Arial" w:hAnsi="Arial" w:cs="Arial"/>
          <w:b/>
          <w:sz w:val="20"/>
          <w:szCs w:val="20"/>
        </w:rPr>
        <w:t>Acknowledgements</w:t>
      </w:r>
    </w:p>
    <w:p w:rsidR="00F908F6" w:rsidRPr="002E2A51" w:rsidRDefault="002E2A51" w:rsidP="002E2A51">
      <w:pPr>
        <w:tabs>
          <w:tab w:val="left" w:pos="360"/>
        </w:tabs>
        <w:rPr>
          <w:rFonts w:ascii="Arial" w:eastAsia="Times New Roman" w:hAnsi="Arial" w:cs="Arial"/>
          <w:bCs/>
          <w:sz w:val="20"/>
          <w:szCs w:val="20"/>
          <w:lang w:eastAsia="en-US"/>
        </w:rPr>
      </w:pPr>
      <w:r>
        <w:rPr>
          <w:rFonts w:ascii="Arial" w:eastAsia="Times New Roman" w:hAnsi="Arial" w:cs="Arial"/>
          <w:sz w:val="20"/>
          <w:szCs w:val="20"/>
          <w:lang w:eastAsia="en-US"/>
        </w:rPr>
        <w:t xml:space="preserve">    </w:t>
      </w:r>
      <w:r w:rsidRPr="00DD49E1">
        <w:rPr>
          <w:rFonts w:ascii="Arial" w:eastAsia="Times New Roman" w:hAnsi="Arial" w:cs="Arial"/>
          <w:iCs/>
          <w:sz w:val="20"/>
          <w:szCs w:val="20"/>
          <w:lang w:eastAsia="en-US"/>
        </w:rPr>
        <w:t>L.S. acknowledges the NHMFL User Collaboration Grants Program Award No. 5080. J.C. acknowledges the support from</w:t>
      </w:r>
      <w:r w:rsidRPr="00DD49E1">
        <w:rPr>
          <w:rFonts w:ascii="Arial" w:eastAsia="Times New Roman" w:hAnsi="Arial" w:cs="Arial"/>
          <w:sz w:val="20"/>
          <w:szCs w:val="20"/>
          <w:lang w:eastAsia="en-US"/>
        </w:rPr>
        <w:t xml:space="preserve"> NSF </w:t>
      </w:r>
      <w:r w:rsidRPr="00DD49E1">
        <w:rPr>
          <w:rFonts w:ascii="Arial" w:eastAsia="Times New Roman" w:hAnsi="Arial" w:cs="Arial"/>
          <w:bCs/>
          <w:sz w:val="20"/>
          <w:szCs w:val="20"/>
          <w:lang w:eastAsia="en-US"/>
        </w:rPr>
        <w:t xml:space="preserve">1351265 </w:t>
      </w:r>
      <w:r w:rsidRPr="00DD49E1">
        <w:rPr>
          <w:rFonts w:ascii="Arial" w:eastAsia="Times New Roman" w:hAnsi="Arial" w:cs="Arial"/>
          <w:sz w:val="20"/>
          <w:szCs w:val="20"/>
          <w:lang w:eastAsia="en-US"/>
        </w:rPr>
        <w:t xml:space="preserve">and </w:t>
      </w:r>
      <w:r>
        <w:rPr>
          <w:rFonts w:ascii="Arial" w:eastAsia="Times New Roman" w:hAnsi="Arial" w:cs="Arial"/>
          <w:sz w:val="20"/>
          <w:szCs w:val="20"/>
          <w:lang w:eastAsia="en-US"/>
        </w:rPr>
        <w:t>NIH</w:t>
      </w:r>
      <w:r w:rsidRPr="00DD49E1">
        <w:rPr>
          <w:rFonts w:ascii="Arial" w:eastAsia="Times New Roman" w:hAnsi="Arial" w:cs="Arial"/>
          <w:sz w:val="20"/>
          <w:szCs w:val="20"/>
          <w:lang w:eastAsia="en-US"/>
        </w:rPr>
        <w:t xml:space="preserve"> </w:t>
      </w:r>
      <w:r w:rsidRPr="00DD49E1">
        <w:rPr>
          <w:rFonts w:ascii="Arial" w:eastAsia="Times New Roman" w:hAnsi="Arial" w:cs="Arial"/>
          <w:bCs/>
          <w:sz w:val="20"/>
          <w:szCs w:val="20"/>
          <w:lang w:eastAsia="en-US"/>
        </w:rPr>
        <w:t>GM112652-01A1.</w:t>
      </w:r>
      <w:r>
        <w:rPr>
          <w:rFonts w:ascii="Arial" w:eastAsia="Times New Roman" w:hAnsi="Arial" w:cs="Arial"/>
          <w:bCs/>
          <w:sz w:val="20"/>
          <w:szCs w:val="20"/>
          <w:lang w:eastAsia="en-US"/>
        </w:rPr>
        <w:t xml:space="preserve"> </w:t>
      </w:r>
      <w:r>
        <w:rPr>
          <w:rFonts w:ascii="Arial" w:eastAsia="Times New Roman" w:hAnsi="Arial" w:cs="Arial"/>
          <w:sz w:val="20"/>
          <w:szCs w:val="20"/>
          <w:lang w:eastAsia="en-US"/>
        </w:rPr>
        <w:t>T</w:t>
      </w:r>
      <w:r w:rsidRPr="00334CEB">
        <w:rPr>
          <w:rFonts w:ascii="Arial" w:eastAsia="Times New Roman" w:hAnsi="Arial" w:cs="Arial"/>
          <w:sz w:val="20"/>
          <w:szCs w:val="20"/>
          <w:lang w:eastAsia="en-US"/>
        </w:rPr>
        <w:t xml:space="preserve">his work was performed at the </w:t>
      </w:r>
      <w:r>
        <w:rPr>
          <w:rFonts w:ascii="Arial" w:eastAsia="Times New Roman" w:hAnsi="Arial" w:cs="Arial"/>
          <w:sz w:val="20"/>
          <w:szCs w:val="20"/>
          <w:lang w:eastAsia="en-US"/>
        </w:rPr>
        <w:t>NHMFL</w:t>
      </w:r>
      <w:r w:rsidRPr="00334CEB">
        <w:rPr>
          <w:rFonts w:ascii="Arial" w:eastAsia="Times New Roman" w:hAnsi="Arial" w:cs="Arial"/>
          <w:sz w:val="20"/>
          <w:szCs w:val="20"/>
          <w:lang w:eastAsia="en-US"/>
        </w:rPr>
        <w:t>, which is supported by National Science Foundation Coopera</w:t>
      </w:r>
      <w:r>
        <w:rPr>
          <w:rFonts w:ascii="Arial" w:eastAsia="Times New Roman" w:hAnsi="Arial" w:cs="Arial"/>
          <w:sz w:val="20"/>
          <w:szCs w:val="20"/>
          <w:lang w:eastAsia="en-US"/>
        </w:rPr>
        <w:t xml:space="preserve">tive Agreement No. </w:t>
      </w:r>
      <w:proofErr w:type="gramStart"/>
      <w:r>
        <w:rPr>
          <w:rFonts w:ascii="Arial" w:eastAsia="Times New Roman" w:hAnsi="Arial" w:cs="Arial"/>
          <w:sz w:val="20"/>
          <w:szCs w:val="20"/>
          <w:lang w:eastAsia="en-US"/>
        </w:rPr>
        <w:t xml:space="preserve">DMR-1157490 and </w:t>
      </w:r>
      <w:r w:rsidRPr="00334CEB">
        <w:rPr>
          <w:rFonts w:ascii="Arial" w:eastAsia="Times New Roman" w:hAnsi="Arial" w:cs="Arial"/>
          <w:sz w:val="20"/>
          <w:szCs w:val="20"/>
          <w:lang w:eastAsia="en-US"/>
        </w:rPr>
        <w:t>the Stat</w:t>
      </w:r>
      <w:r>
        <w:rPr>
          <w:rFonts w:ascii="Arial" w:eastAsia="Times New Roman" w:hAnsi="Arial" w:cs="Arial"/>
          <w:sz w:val="20"/>
          <w:szCs w:val="20"/>
          <w:lang w:eastAsia="en-US"/>
        </w:rPr>
        <w:t>e of Florida.</w:t>
      </w:r>
      <w:proofErr w:type="gramEnd"/>
      <w:r>
        <w:rPr>
          <w:rFonts w:ascii="Arial" w:eastAsia="Times New Roman" w:hAnsi="Arial" w:cs="Arial"/>
          <w:sz w:val="20"/>
          <w:szCs w:val="20"/>
          <w:lang w:eastAsia="en-US"/>
        </w:rPr>
        <w:t xml:space="preserve">  </w:t>
      </w:r>
    </w:p>
    <w:sectPr w:rsidR="00F908F6" w:rsidRPr="002E2A51" w:rsidSect="00450C97">
      <w:headerReference w:type="even" r:id="rId12"/>
      <w:headerReference w:type="default" r:id="rId13"/>
      <w:footerReference w:type="even" r:id="rId14"/>
      <w:footerReference w:type="default" r:id="rId15"/>
      <w:headerReference w:type="first" r:id="rId16"/>
      <w:footerReference w:type="first" r:id="rId17"/>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FF" w:rsidRDefault="007523FF">
      <w:r>
        <w:separator/>
      </w:r>
    </w:p>
  </w:endnote>
  <w:endnote w:type="continuationSeparator" w:id="0">
    <w:p w:rsidR="007523FF" w:rsidRDefault="0075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FF" w:rsidRDefault="007523FF">
      <w:r>
        <w:separator/>
      </w:r>
    </w:p>
  </w:footnote>
  <w:footnote w:type="continuationSeparator" w:id="0">
    <w:p w:rsidR="007523FF" w:rsidRDefault="0075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4C6" w:rsidRDefault="003675E7"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Pr>
        <w:rFonts w:ascii="Arial" w:hAnsi="Arial" w:cs="Arial"/>
        <w:b/>
        <w:smallCaps/>
        <w:noProof/>
        <w:color w:val="1F497D"/>
        <w:spacing w:val="5"/>
        <w:sz w:val="22"/>
        <w:szCs w:val="22"/>
        <w:lang w:eastAsia="en-US"/>
      </w:rPr>
      <w:drawing>
        <wp:inline distT="0" distB="0" distL="0" distR="0">
          <wp:extent cx="525145" cy="626745"/>
          <wp:effectExtent l="0" t="0" r="8255" b="1905"/>
          <wp:docPr id="3"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84" w:rsidRDefault="008A1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670"/>
    <w:rsid w:val="000A1716"/>
    <w:rsid w:val="000A59A8"/>
    <w:rsid w:val="000E1D4F"/>
    <w:rsid w:val="00104A4C"/>
    <w:rsid w:val="00113D92"/>
    <w:rsid w:val="00120180"/>
    <w:rsid w:val="0014131B"/>
    <w:rsid w:val="00141FE9"/>
    <w:rsid w:val="00155AD2"/>
    <w:rsid w:val="00167606"/>
    <w:rsid w:val="001836FA"/>
    <w:rsid w:val="0018419E"/>
    <w:rsid w:val="0018697C"/>
    <w:rsid w:val="00187023"/>
    <w:rsid w:val="001D59E4"/>
    <w:rsid w:val="001E526E"/>
    <w:rsid w:val="001E5ECF"/>
    <w:rsid w:val="001E6BF4"/>
    <w:rsid w:val="00231335"/>
    <w:rsid w:val="00233F11"/>
    <w:rsid w:val="00241739"/>
    <w:rsid w:val="002426D5"/>
    <w:rsid w:val="002524EE"/>
    <w:rsid w:val="00265A15"/>
    <w:rsid w:val="00290223"/>
    <w:rsid w:val="002C7675"/>
    <w:rsid w:val="002E2A51"/>
    <w:rsid w:val="002E4E14"/>
    <w:rsid w:val="00306550"/>
    <w:rsid w:val="00312C04"/>
    <w:rsid w:val="00334CEB"/>
    <w:rsid w:val="003560D2"/>
    <w:rsid w:val="00363C8F"/>
    <w:rsid w:val="003675E7"/>
    <w:rsid w:val="00376D2C"/>
    <w:rsid w:val="00393065"/>
    <w:rsid w:val="003A1FF5"/>
    <w:rsid w:val="003C6493"/>
    <w:rsid w:val="003E2F8E"/>
    <w:rsid w:val="003F55A7"/>
    <w:rsid w:val="003F6E7E"/>
    <w:rsid w:val="00410D2C"/>
    <w:rsid w:val="00420894"/>
    <w:rsid w:val="00450C97"/>
    <w:rsid w:val="00486FF9"/>
    <w:rsid w:val="0049187D"/>
    <w:rsid w:val="00491C5D"/>
    <w:rsid w:val="004A227C"/>
    <w:rsid w:val="004F160B"/>
    <w:rsid w:val="005034C0"/>
    <w:rsid w:val="00511F7E"/>
    <w:rsid w:val="005173CE"/>
    <w:rsid w:val="0053142A"/>
    <w:rsid w:val="005452B9"/>
    <w:rsid w:val="00574F58"/>
    <w:rsid w:val="00583BC3"/>
    <w:rsid w:val="005A1B84"/>
    <w:rsid w:val="005C4422"/>
    <w:rsid w:val="005C4667"/>
    <w:rsid w:val="005C5648"/>
    <w:rsid w:val="00625028"/>
    <w:rsid w:val="00627F7D"/>
    <w:rsid w:val="006612DC"/>
    <w:rsid w:val="00672D41"/>
    <w:rsid w:val="006B3824"/>
    <w:rsid w:val="006C4440"/>
    <w:rsid w:val="006D745E"/>
    <w:rsid w:val="006E2CE0"/>
    <w:rsid w:val="006E4A9F"/>
    <w:rsid w:val="007207FF"/>
    <w:rsid w:val="00731C19"/>
    <w:rsid w:val="00734E94"/>
    <w:rsid w:val="007523FF"/>
    <w:rsid w:val="00764FB5"/>
    <w:rsid w:val="00774A49"/>
    <w:rsid w:val="007C0813"/>
    <w:rsid w:val="007D3105"/>
    <w:rsid w:val="007E2F28"/>
    <w:rsid w:val="00862CB5"/>
    <w:rsid w:val="00883638"/>
    <w:rsid w:val="008A1D84"/>
    <w:rsid w:val="008B05B8"/>
    <w:rsid w:val="008C5788"/>
    <w:rsid w:val="008E5BC5"/>
    <w:rsid w:val="008E5C85"/>
    <w:rsid w:val="008F35CC"/>
    <w:rsid w:val="008F6083"/>
    <w:rsid w:val="009648AC"/>
    <w:rsid w:val="009A39F6"/>
    <w:rsid w:val="009A3F73"/>
    <w:rsid w:val="009B41B2"/>
    <w:rsid w:val="009C318D"/>
    <w:rsid w:val="009C3DF0"/>
    <w:rsid w:val="009C7F31"/>
    <w:rsid w:val="009D39A4"/>
    <w:rsid w:val="009E4F1E"/>
    <w:rsid w:val="00A1227A"/>
    <w:rsid w:val="00A55035"/>
    <w:rsid w:val="00A758E6"/>
    <w:rsid w:val="00A94FC4"/>
    <w:rsid w:val="00AC297F"/>
    <w:rsid w:val="00AC4AFE"/>
    <w:rsid w:val="00AD3CDD"/>
    <w:rsid w:val="00AE142B"/>
    <w:rsid w:val="00AF7C63"/>
    <w:rsid w:val="00B00CDB"/>
    <w:rsid w:val="00B25D4D"/>
    <w:rsid w:val="00B45112"/>
    <w:rsid w:val="00B5585D"/>
    <w:rsid w:val="00B71405"/>
    <w:rsid w:val="00B75DC9"/>
    <w:rsid w:val="00B94321"/>
    <w:rsid w:val="00B95FCB"/>
    <w:rsid w:val="00B96080"/>
    <w:rsid w:val="00BA00BE"/>
    <w:rsid w:val="00BA7096"/>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E3216"/>
    <w:rsid w:val="00E04B24"/>
    <w:rsid w:val="00E07ED9"/>
    <w:rsid w:val="00E25473"/>
    <w:rsid w:val="00E411D1"/>
    <w:rsid w:val="00E43BB4"/>
    <w:rsid w:val="00E5095B"/>
    <w:rsid w:val="00E57E61"/>
    <w:rsid w:val="00E60509"/>
    <w:rsid w:val="00E92C74"/>
    <w:rsid w:val="00EA1E33"/>
    <w:rsid w:val="00EB489A"/>
    <w:rsid w:val="00EB515D"/>
    <w:rsid w:val="00F23F2F"/>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D31CA-BEFE-4FC8-A780-04B091C1C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2015-07-15T21:10:00Z</cp:lastPrinted>
  <dcterms:created xsi:type="dcterms:W3CDTF">2016-02-10T18:40:00Z</dcterms:created>
  <dcterms:modified xsi:type="dcterms:W3CDTF">2016-02-10T18:41:00Z</dcterms:modified>
</cp:coreProperties>
</file>