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A17" w:rsidRPr="00D65CBB" w:rsidRDefault="0056433E" w:rsidP="0056433E">
      <w:pPr>
        <w:tabs>
          <w:tab w:val="left" w:pos="360"/>
        </w:tabs>
        <w:rPr>
          <w:rFonts w:ascii="Arial" w:hAnsi="Arial" w:cs="Arial"/>
          <w:b/>
        </w:rPr>
      </w:pPr>
      <w:r>
        <w:rPr>
          <w:rFonts w:ascii="Arial" w:hAnsi="Arial" w:cs="Arial"/>
          <w:b/>
        </w:rPr>
        <w:t xml:space="preserve">        MR Microscopy of a Mouse Model of Recessive Polycystic Kidney Disease</w:t>
      </w:r>
    </w:p>
    <w:p w:rsidR="003E2F8E" w:rsidRPr="006B3824" w:rsidRDefault="003E2F8E" w:rsidP="0049187D">
      <w:pPr>
        <w:tabs>
          <w:tab w:val="left" w:pos="360"/>
        </w:tabs>
        <w:rPr>
          <w:rFonts w:ascii="Arial" w:hAnsi="Arial" w:cs="Arial"/>
          <w:sz w:val="20"/>
          <w:szCs w:val="20"/>
        </w:rPr>
      </w:pPr>
    </w:p>
    <w:p w:rsidR="00E61C3B" w:rsidRPr="00B80E79" w:rsidRDefault="00783BA1" w:rsidP="00E61C3B">
      <w:pPr>
        <w:autoSpaceDE w:val="0"/>
        <w:autoSpaceDN w:val="0"/>
        <w:adjustRightInd w:val="0"/>
        <w:rPr>
          <w:rFonts w:ascii="Arial" w:hAnsi="Arial" w:cs="Arial"/>
          <w:bCs/>
          <w:sz w:val="20"/>
          <w:szCs w:val="20"/>
        </w:rPr>
      </w:pPr>
      <w:r>
        <w:rPr>
          <w:rFonts w:ascii="Arial" w:hAnsi="Arial" w:cs="Arial"/>
          <w:sz w:val="20"/>
          <w:szCs w:val="20"/>
        </w:rPr>
        <w:t xml:space="preserve">Lee, C.H. </w:t>
      </w:r>
      <w:r w:rsidR="00E61C3B" w:rsidRPr="00B80E79">
        <w:rPr>
          <w:rFonts w:ascii="Arial" w:hAnsi="Arial" w:cs="Arial"/>
          <w:sz w:val="20"/>
          <w:szCs w:val="20"/>
        </w:rPr>
        <w:t xml:space="preserve">(UF, </w:t>
      </w:r>
      <w:proofErr w:type="spellStart"/>
      <w:r w:rsidR="00E61C3B" w:rsidRPr="00B80E79">
        <w:rPr>
          <w:rFonts w:ascii="Arial" w:hAnsi="Arial" w:cs="Arial"/>
          <w:sz w:val="20"/>
          <w:szCs w:val="20"/>
        </w:rPr>
        <w:t>Elec</w:t>
      </w:r>
      <w:proofErr w:type="gramStart"/>
      <w:r w:rsidR="00E61C3B" w:rsidRPr="00B80E79">
        <w:rPr>
          <w:rFonts w:ascii="Arial" w:hAnsi="Arial" w:cs="Arial"/>
          <w:sz w:val="20"/>
          <w:szCs w:val="20"/>
        </w:rPr>
        <w:t>.&amp;</w:t>
      </w:r>
      <w:proofErr w:type="gramEnd"/>
      <w:r w:rsidR="00E61C3B" w:rsidRPr="00B80E79">
        <w:rPr>
          <w:rFonts w:ascii="Arial" w:hAnsi="Arial" w:cs="Arial"/>
          <w:sz w:val="20"/>
          <w:szCs w:val="20"/>
        </w:rPr>
        <w:t>Comp</w:t>
      </w:r>
      <w:proofErr w:type="spellEnd"/>
      <w:r w:rsidR="00E61C3B" w:rsidRPr="00B80E79">
        <w:rPr>
          <w:rFonts w:ascii="Arial" w:hAnsi="Arial" w:cs="Arial"/>
          <w:sz w:val="20"/>
          <w:szCs w:val="20"/>
        </w:rPr>
        <w:t>. Eng.)</w:t>
      </w:r>
      <w:r>
        <w:rPr>
          <w:rFonts w:ascii="Arial" w:hAnsi="Arial" w:cs="Arial"/>
          <w:sz w:val="20"/>
          <w:szCs w:val="20"/>
        </w:rPr>
        <w:t xml:space="preserve">; </w:t>
      </w:r>
      <w:r w:rsidR="00E61C3B" w:rsidRPr="00B80E79">
        <w:rPr>
          <w:rFonts w:ascii="Arial" w:hAnsi="Arial" w:cs="Arial"/>
          <w:sz w:val="20"/>
          <w:szCs w:val="20"/>
        </w:rPr>
        <w:t>Yang</w:t>
      </w:r>
      <w:r>
        <w:rPr>
          <w:rFonts w:ascii="Arial" w:hAnsi="Arial" w:cs="Arial"/>
          <w:sz w:val="20"/>
          <w:szCs w:val="20"/>
        </w:rPr>
        <w:t xml:space="preserve">, C.; </w:t>
      </w:r>
      <w:r w:rsidR="00E61C3B" w:rsidRPr="00B80E79">
        <w:rPr>
          <w:rFonts w:ascii="Arial" w:hAnsi="Arial" w:cs="Arial"/>
          <w:sz w:val="20"/>
          <w:szCs w:val="20"/>
        </w:rPr>
        <w:t>Tate</w:t>
      </w:r>
      <w:r>
        <w:rPr>
          <w:rFonts w:ascii="Arial" w:hAnsi="Arial" w:cs="Arial"/>
          <w:sz w:val="20"/>
          <w:szCs w:val="20"/>
        </w:rPr>
        <w:t xml:space="preserve">, J.M., </w:t>
      </w:r>
      <w:proofErr w:type="spellStart"/>
      <w:r w:rsidR="00E61C3B" w:rsidRPr="00B80E79">
        <w:rPr>
          <w:rFonts w:ascii="Arial" w:hAnsi="Arial" w:cs="Arial"/>
          <w:sz w:val="20"/>
          <w:szCs w:val="20"/>
        </w:rPr>
        <w:t>Schoeb</w:t>
      </w:r>
      <w:proofErr w:type="spellEnd"/>
      <w:r>
        <w:rPr>
          <w:rFonts w:ascii="Arial" w:hAnsi="Arial" w:cs="Arial"/>
          <w:sz w:val="20"/>
          <w:szCs w:val="20"/>
        </w:rPr>
        <w:t>, T.R.</w:t>
      </w:r>
      <w:r w:rsidR="005E7C3F" w:rsidRPr="00B80E79">
        <w:rPr>
          <w:rFonts w:ascii="Arial" w:hAnsi="Arial" w:cs="Arial"/>
          <w:sz w:val="20"/>
          <w:szCs w:val="20"/>
        </w:rPr>
        <w:t xml:space="preserve"> (University of Alabama)</w:t>
      </w:r>
      <w:r>
        <w:rPr>
          <w:rFonts w:ascii="Arial" w:hAnsi="Arial" w:cs="Arial"/>
          <w:sz w:val="20"/>
          <w:szCs w:val="20"/>
        </w:rPr>
        <w:t xml:space="preserve">; </w:t>
      </w:r>
      <w:r w:rsidR="00E61C3B" w:rsidRPr="00B80E79">
        <w:rPr>
          <w:rFonts w:ascii="Arial" w:hAnsi="Arial" w:cs="Arial"/>
          <w:sz w:val="20"/>
          <w:szCs w:val="20"/>
        </w:rPr>
        <w:t>Flint</w:t>
      </w:r>
      <w:r>
        <w:rPr>
          <w:rFonts w:ascii="Arial" w:hAnsi="Arial" w:cs="Arial"/>
          <w:sz w:val="20"/>
          <w:szCs w:val="20"/>
        </w:rPr>
        <w:t xml:space="preserve">, J.J.; </w:t>
      </w:r>
      <w:proofErr w:type="spellStart"/>
      <w:r w:rsidR="005E7C3F" w:rsidRPr="00B80E79">
        <w:rPr>
          <w:rFonts w:ascii="Arial" w:hAnsi="Arial" w:cs="Arial"/>
          <w:sz w:val="20"/>
          <w:szCs w:val="20"/>
        </w:rPr>
        <w:t>Blackband</w:t>
      </w:r>
      <w:proofErr w:type="spellEnd"/>
      <w:r>
        <w:rPr>
          <w:rFonts w:ascii="Arial" w:hAnsi="Arial" w:cs="Arial"/>
          <w:sz w:val="20"/>
          <w:szCs w:val="20"/>
        </w:rPr>
        <w:t>, S.J.</w:t>
      </w:r>
      <w:r w:rsidR="00E61C3B" w:rsidRPr="00B80E79">
        <w:rPr>
          <w:rFonts w:ascii="Arial" w:hAnsi="Arial" w:cs="Arial"/>
          <w:sz w:val="20"/>
          <w:szCs w:val="20"/>
        </w:rPr>
        <w:t xml:space="preserve"> </w:t>
      </w:r>
      <w:r w:rsidR="00E61C3B" w:rsidRPr="00B80E79">
        <w:rPr>
          <w:rStyle w:val="Strong"/>
          <w:rFonts w:ascii="Arial" w:hAnsi="Arial" w:cs="Arial"/>
          <w:b w:val="0"/>
          <w:sz w:val="20"/>
          <w:szCs w:val="20"/>
        </w:rPr>
        <w:t>(UF, Neuroscience, NHMFL)</w:t>
      </w:r>
      <w:r>
        <w:rPr>
          <w:rStyle w:val="Strong"/>
          <w:rFonts w:ascii="Arial" w:hAnsi="Arial" w:cs="Arial"/>
          <w:b w:val="0"/>
          <w:sz w:val="20"/>
          <w:szCs w:val="20"/>
        </w:rPr>
        <w:t xml:space="preserve"> and </w:t>
      </w:r>
      <w:proofErr w:type="spellStart"/>
      <w:r w:rsidR="00E61C3B" w:rsidRPr="00B80E79">
        <w:rPr>
          <w:rFonts w:ascii="Arial" w:hAnsi="Arial" w:cs="Arial"/>
          <w:sz w:val="20"/>
          <w:szCs w:val="20"/>
          <w:u w:val="single"/>
        </w:rPr>
        <w:t>Guay</w:t>
      </w:r>
      <w:proofErr w:type="spellEnd"/>
      <w:r w:rsidR="00E61C3B" w:rsidRPr="00B80E79">
        <w:rPr>
          <w:rFonts w:ascii="Arial" w:hAnsi="Arial" w:cs="Arial"/>
          <w:sz w:val="20"/>
          <w:szCs w:val="20"/>
          <w:u w:val="single"/>
        </w:rPr>
        <w:t>-Woodford</w:t>
      </w:r>
      <w:r>
        <w:rPr>
          <w:rFonts w:ascii="Arial" w:hAnsi="Arial" w:cs="Arial"/>
          <w:sz w:val="20"/>
          <w:szCs w:val="20"/>
          <w:u w:val="single"/>
        </w:rPr>
        <w:t>, L.M.</w:t>
      </w:r>
      <w:r>
        <w:rPr>
          <w:rFonts w:ascii="Arial" w:hAnsi="Arial" w:cs="Arial"/>
          <w:sz w:val="20"/>
          <w:szCs w:val="20"/>
        </w:rPr>
        <w:t xml:space="preserve"> (University of Alabama)</w:t>
      </w:r>
    </w:p>
    <w:p w:rsidR="00A94FC4" w:rsidRPr="006B3824" w:rsidRDefault="00A94FC4" w:rsidP="0049187D">
      <w:pPr>
        <w:pBdr>
          <w:bottom w:val="single" w:sz="12" w:space="1" w:color="auto"/>
        </w:pBdr>
        <w:tabs>
          <w:tab w:val="left" w:pos="360"/>
        </w:tabs>
        <w:rPr>
          <w:rFonts w:ascii="Arial" w:hAnsi="Arial" w:cs="Arial"/>
          <w:sz w:val="20"/>
          <w:szCs w:val="20"/>
        </w:rPr>
      </w:pPr>
    </w:p>
    <w:p w:rsidR="00A94FC4" w:rsidRPr="00A404A6" w:rsidRDefault="00A94FC4" w:rsidP="0049187D">
      <w:pPr>
        <w:tabs>
          <w:tab w:val="left" w:pos="360"/>
        </w:tabs>
        <w:rPr>
          <w:rFonts w:ascii="Arial" w:hAnsi="Arial" w:cs="Arial"/>
          <w:sz w:val="20"/>
          <w:szCs w:val="20"/>
        </w:rPr>
      </w:pPr>
    </w:p>
    <w:p w:rsidR="007819AA" w:rsidRPr="00A404A6" w:rsidRDefault="007819AA" w:rsidP="007819AA">
      <w:pPr>
        <w:rPr>
          <w:rFonts w:ascii="Arial" w:hAnsi="Arial" w:cs="Arial"/>
          <w:b/>
          <w:sz w:val="20"/>
          <w:szCs w:val="20"/>
        </w:rPr>
      </w:pPr>
      <w:r w:rsidRPr="00A404A6">
        <w:rPr>
          <w:rFonts w:ascii="Arial" w:hAnsi="Arial" w:cs="Arial"/>
          <w:b/>
          <w:sz w:val="20"/>
          <w:szCs w:val="20"/>
        </w:rPr>
        <w:t>Introduction</w:t>
      </w:r>
    </w:p>
    <w:p w:rsidR="007819AA" w:rsidRPr="00A404A6" w:rsidRDefault="00783BA1" w:rsidP="007819AA">
      <w:pPr>
        <w:tabs>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sz w:val="20"/>
          <w:szCs w:val="20"/>
        </w:rPr>
      </w:pPr>
      <w:r>
        <w:rPr>
          <w:rFonts w:ascii="Arial" w:hAnsi="Arial" w:cs="Arial"/>
          <w:color w:val="000000"/>
          <w:sz w:val="20"/>
          <w:szCs w:val="20"/>
        </w:rPr>
        <w:tab/>
      </w:r>
      <w:r w:rsidR="007819AA" w:rsidRPr="00A404A6">
        <w:rPr>
          <w:rFonts w:ascii="Arial" w:hAnsi="Arial" w:cs="Arial"/>
          <w:color w:val="000000"/>
          <w:sz w:val="20"/>
          <w:szCs w:val="20"/>
        </w:rPr>
        <w:t xml:space="preserve">Polycystic kidney disease (PKD) is a major cause of end-stage renal disease (ESRD) in both children and adults, affecting 12.5 million people world-wide (~600,000 in the US). While current clinical trials are promising, there is no proven therapy for slowing disease progression and PKD patients continue to receive primarily supportive care (1).  In an effort to understand disease progression and treatment, a variety of animal models have been developed.  Previously in an NHMFL report we described how MRM can be used to image livers and kidneys and detect differences in normal and diseased tissues, and how these studies matured to quantitative </w:t>
      </w:r>
      <w:proofErr w:type="spellStart"/>
      <w:r w:rsidR="007819AA" w:rsidRPr="00A404A6">
        <w:rPr>
          <w:rFonts w:ascii="Arial" w:hAnsi="Arial" w:cs="Arial"/>
          <w:color w:val="000000"/>
          <w:sz w:val="20"/>
          <w:szCs w:val="20"/>
        </w:rPr>
        <w:t>volumetrics</w:t>
      </w:r>
      <w:proofErr w:type="spellEnd"/>
      <w:r w:rsidR="007819AA" w:rsidRPr="00A404A6">
        <w:rPr>
          <w:rFonts w:ascii="Arial" w:hAnsi="Arial" w:cs="Arial"/>
          <w:color w:val="000000"/>
          <w:sz w:val="20"/>
          <w:szCs w:val="20"/>
        </w:rPr>
        <w:t xml:space="preserve"> of normal wild type and mutant isolated mouse kidney and liver – this report repeats the major aspects of this work, that histological confirmation was also achieved, and that the study is finally complete and published.   </w:t>
      </w:r>
    </w:p>
    <w:p w:rsidR="007819AA" w:rsidRPr="00A404A6" w:rsidRDefault="007819AA" w:rsidP="007819AA">
      <w:pPr>
        <w:tabs>
          <w:tab w:val="left" w:pos="6513"/>
        </w:tabs>
        <w:rPr>
          <w:rFonts w:ascii="Arial" w:hAnsi="Arial" w:cs="Arial"/>
          <w:sz w:val="20"/>
          <w:szCs w:val="20"/>
        </w:rPr>
      </w:pPr>
    </w:p>
    <w:p w:rsidR="007819AA" w:rsidRPr="00A404A6" w:rsidRDefault="007819AA" w:rsidP="007819AA">
      <w:pPr>
        <w:rPr>
          <w:rFonts w:ascii="Arial" w:hAnsi="Arial" w:cs="Arial"/>
          <w:b/>
          <w:sz w:val="20"/>
          <w:szCs w:val="20"/>
        </w:rPr>
      </w:pPr>
      <w:r w:rsidRPr="00A404A6">
        <w:rPr>
          <w:rFonts w:ascii="Arial" w:hAnsi="Arial" w:cs="Arial"/>
          <w:b/>
          <w:sz w:val="20"/>
          <w:szCs w:val="20"/>
        </w:rPr>
        <w:t>Experimental</w:t>
      </w:r>
    </w:p>
    <w:p w:rsidR="007819AA" w:rsidRPr="00A404A6" w:rsidRDefault="007819AA" w:rsidP="00783BA1">
      <w:pPr>
        <w:ind w:firstLine="360"/>
        <w:rPr>
          <w:rFonts w:ascii="Arial" w:hAnsi="Arial" w:cs="Arial"/>
          <w:sz w:val="20"/>
          <w:szCs w:val="20"/>
        </w:rPr>
      </w:pPr>
      <w:r w:rsidRPr="00A404A6">
        <w:rPr>
          <w:rFonts w:ascii="Arial" w:hAnsi="Arial" w:cs="Arial"/>
          <w:sz w:val="20"/>
          <w:szCs w:val="20"/>
        </w:rPr>
        <w:t xml:space="preserve">Images were acquired with a Bruker 14.1 T vertical magnet equipped with 3000 </w:t>
      </w:r>
      <w:proofErr w:type="spellStart"/>
      <w:r w:rsidRPr="00A404A6">
        <w:rPr>
          <w:rFonts w:ascii="Arial" w:hAnsi="Arial" w:cs="Arial"/>
          <w:sz w:val="20"/>
          <w:szCs w:val="20"/>
        </w:rPr>
        <w:t>mT</w:t>
      </w:r>
      <w:proofErr w:type="spellEnd"/>
      <w:r w:rsidRPr="00A404A6">
        <w:rPr>
          <w:rFonts w:ascii="Arial" w:hAnsi="Arial" w:cs="Arial"/>
          <w:sz w:val="20"/>
          <w:szCs w:val="20"/>
        </w:rPr>
        <w:t xml:space="preserve">/m gradients and interfaced with a 10 mm bird cage coil.  In order to accommodate the liver samples into the inner diameter of a 10 mm NMR tube, the largest lobe of each liver sample was separated with a scalpel and fine surgical scissors.  2D MSME images both in coronal and sagittal view were acquired with TE =50 </w:t>
      </w:r>
      <w:proofErr w:type="spellStart"/>
      <w:r w:rsidRPr="00A404A6">
        <w:rPr>
          <w:rFonts w:ascii="Arial" w:hAnsi="Arial" w:cs="Arial"/>
          <w:sz w:val="20"/>
          <w:szCs w:val="20"/>
        </w:rPr>
        <w:t>ms</w:t>
      </w:r>
      <w:proofErr w:type="spellEnd"/>
      <w:r w:rsidRPr="00A404A6">
        <w:rPr>
          <w:rFonts w:ascii="Arial" w:hAnsi="Arial" w:cs="Arial"/>
          <w:sz w:val="20"/>
          <w:szCs w:val="20"/>
        </w:rPr>
        <w:t xml:space="preserve">, </w:t>
      </w:r>
      <w:proofErr w:type="gramStart"/>
      <w:r w:rsidRPr="00A404A6">
        <w:rPr>
          <w:rFonts w:ascii="Arial" w:hAnsi="Arial" w:cs="Arial"/>
          <w:sz w:val="20"/>
          <w:szCs w:val="20"/>
        </w:rPr>
        <w:t>TR  =</w:t>
      </w:r>
      <w:proofErr w:type="gramEnd"/>
      <w:r w:rsidRPr="00A404A6">
        <w:rPr>
          <w:rFonts w:ascii="Arial" w:hAnsi="Arial" w:cs="Arial"/>
          <w:sz w:val="20"/>
          <w:szCs w:val="20"/>
        </w:rPr>
        <w:t xml:space="preserve"> 2.5 s,  number of averages = 10, FOV = 2mm x 1mm, sampling matrix =256 x 128, slice thickness = 200 µm, and in-plane resolution of 78 µm.  Wild type (n=8) and mutant kidneys (n=12) as well as mutant (n=6) and wild type (n=6) livers were scanned.  Image segmentation with the biliary trees and the entire volume of livers was performed by using AMIRA software version 3.1.1 (Template Graphics Software, CA, </w:t>
      </w:r>
      <w:proofErr w:type="gramStart"/>
      <w:r w:rsidRPr="00A404A6">
        <w:rPr>
          <w:rFonts w:ascii="Arial" w:hAnsi="Arial" w:cs="Arial"/>
          <w:sz w:val="20"/>
          <w:szCs w:val="20"/>
        </w:rPr>
        <w:t>USA</w:t>
      </w:r>
      <w:proofErr w:type="gramEnd"/>
      <w:r w:rsidRPr="00A404A6">
        <w:rPr>
          <w:rFonts w:ascii="Arial" w:hAnsi="Arial" w:cs="Arial"/>
          <w:sz w:val="20"/>
          <w:szCs w:val="20"/>
        </w:rPr>
        <w:t>) semi-automatically.  Additionally histological confirmation of volumes was acquired.</w:t>
      </w:r>
    </w:p>
    <w:p w:rsidR="007819AA" w:rsidRPr="00A404A6" w:rsidRDefault="007819AA" w:rsidP="007819AA">
      <w:pPr>
        <w:rPr>
          <w:rFonts w:ascii="Arial" w:hAnsi="Arial" w:cs="Arial"/>
          <w:sz w:val="20"/>
          <w:szCs w:val="20"/>
        </w:rPr>
      </w:pPr>
    </w:p>
    <w:p w:rsidR="007819AA" w:rsidRPr="00A404A6" w:rsidRDefault="007819AA" w:rsidP="007819AA">
      <w:pPr>
        <w:rPr>
          <w:rFonts w:ascii="Arial" w:hAnsi="Arial" w:cs="Arial"/>
          <w:b/>
          <w:sz w:val="20"/>
          <w:szCs w:val="20"/>
        </w:rPr>
      </w:pPr>
      <w:r w:rsidRPr="00A404A6">
        <w:rPr>
          <w:rFonts w:ascii="Arial" w:hAnsi="Arial" w:cs="Arial"/>
          <w:b/>
          <w:sz w:val="20"/>
          <w:szCs w:val="20"/>
        </w:rPr>
        <w:t>Results and Discussion</w:t>
      </w:r>
    </w:p>
    <w:p w:rsidR="007819AA" w:rsidRPr="00A404A6" w:rsidRDefault="00B80E79" w:rsidP="00783BA1">
      <w:pPr>
        <w:ind w:firstLine="360"/>
        <w:rPr>
          <w:rFonts w:ascii="Arial" w:hAnsi="Arial" w:cs="Arial"/>
          <w:sz w:val="20"/>
          <w:szCs w:val="20"/>
        </w:rPr>
      </w:pPr>
      <w:r>
        <w:rPr>
          <w:rFonts w:ascii="Arial" w:hAnsi="Arial" w:cs="Arial"/>
          <w:noProof/>
          <w:sz w:val="20"/>
          <w:szCs w:val="20"/>
          <w:lang w:eastAsia="en-US"/>
        </w:rPr>
        <mc:AlternateContent>
          <mc:Choice Requires="wps">
            <w:drawing>
              <wp:anchor distT="0" distB="0" distL="114300" distR="114300" simplePos="0" relativeHeight="251658240" behindDoc="0" locked="0" layoutInCell="1" allowOverlap="1">
                <wp:simplePos x="0" y="0"/>
                <wp:positionH relativeFrom="column">
                  <wp:posOffset>3430270</wp:posOffset>
                </wp:positionH>
                <wp:positionV relativeFrom="paragraph">
                  <wp:posOffset>1396365</wp:posOffset>
                </wp:positionV>
                <wp:extent cx="3037840" cy="396875"/>
                <wp:effectExtent l="10795" t="5715" r="8890" b="698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396875"/>
                        </a:xfrm>
                        <a:prstGeom prst="rect">
                          <a:avLst/>
                        </a:prstGeom>
                        <a:solidFill>
                          <a:srgbClr val="FFFFFF"/>
                        </a:solidFill>
                        <a:ln w="9525">
                          <a:solidFill>
                            <a:srgbClr val="000000"/>
                          </a:solidFill>
                          <a:miter lim="800000"/>
                          <a:headEnd/>
                          <a:tailEnd/>
                        </a:ln>
                      </wps:spPr>
                      <wps:txbx>
                        <w:txbxContent>
                          <w:p w:rsidR="00E61C3B" w:rsidRPr="00783BA1" w:rsidRDefault="00E61C3B" w:rsidP="007819AA">
                            <w:pPr>
                              <w:rPr>
                                <w:rFonts w:ascii="Arial" w:hAnsi="Arial" w:cs="Arial"/>
                                <w:sz w:val="18"/>
                                <w:szCs w:val="18"/>
                              </w:rPr>
                            </w:pPr>
                            <w:proofErr w:type="gramStart"/>
                            <w:r w:rsidRPr="00783BA1">
                              <w:rPr>
                                <w:rFonts w:ascii="Arial" w:hAnsi="Arial" w:cs="Arial"/>
                                <w:b/>
                                <w:sz w:val="18"/>
                                <w:szCs w:val="18"/>
                              </w:rPr>
                              <w:t>Figure 1</w:t>
                            </w:r>
                            <w:r w:rsidRPr="00783BA1">
                              <w:rPr>
                                <w:rFonts w:ascii="Arial" w:hAnsi="Arial" w:cs="Arial"/>
                                <w:sz w:val="18"/>
                                <w:szCs w:val="18"/>
                              </w:rPr>
                              <w:t>.</w:t>
                            </w:r>
                            <w:proofErr w:type="gramEnd"/>
                            <w:r w:rsidRPr="00783BA1">
                              <w:rPr>
                                <w:rFonts w:ascii="Arial" w:hAnsi="Arial" w:cs="Arial"/>
                                <w:sz w:val="18"/>
                                <w:szCs w:val="18"/>
                              </w:rPr>
                              <w:t xml:space="preserve">  3D segmentations of the biliary tree in wild type (left) and mutant (right) liver lobes.</w:t>
                            </w:r>
                          </w:p>
                          <w:p w:rsidR="00E61C3B" w:rsidRPr="00DA043B" w:rsidRDefault="00E61C3B" w:rsidP="007819A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0.1pt;margin-top:109.95pt;width:239.2pt;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">
                <v:textbox>
                  <w:txbxContent>
                    <w:p w:rsidR="00E61C3B" w:rsidRPr="00783BA1" w:rsidRDefault="00E61C3B" w:rsidP="007819AA">
                      <w:pPr>
                        <w:rPr>
                          <w:rFonts w:ascii="Arial" w:hAnsi="Arial" w:cs="Arial"/>
                          <w:sz w:val="18"/>
                          <w:szCs w:val="18"/>
                        </w:rPr>
                      </w:pPr>
                      <w:proofErr w:type="gramStart"/>
                      <w:r w:rsidRPr="00783BA1">
                        <w:rPr>
                          <w:rFonts w:ascii="Arial" w:hAnsi="Arial" w:cs="Arial"/>
                          <w:b/>
                          <w:sz w:val="18"/>
                          <w:szCs w:val="18"/>
                        </w:rPr>
                        <w:t>Figure 1</w:t>
                      </w:r>
                      <w:r w:rsidRPr="00783BA1">
                        <w:rPr>
                          <w:rFonts w:ascii="Arial" w:hAnsi="Arial" w:cs="Arial"/>
                          <w:sz w:val="18"/>
                          <w:szCs w:val="18"/>
                        </w:rPr>
                        <w:t>.</w:t>
                      </w:r>
                      <w:proofErr w:type="gramEnd"/>
                      <w:r w:rsidRPr="00783BA1">
                        <w:rPr>
                          <w:rFonts w:ascii="Arial" w:hAnsi="Arial" w:cs="Arial"/>
                          <w:sz w:val="18"/>
                          <w:szCs w:val="18"/>
                        </w:rPr>
                        <w:t xml:space="preserve">  3D segmentations of the biliary tree in wild type (left) and mutant (right) liver lobes.</w:t>
                      </w:r>
                    </w:p>
                    <w:p w:rsidR="00E61C3B" w:rsidRPr="00DA043B" w:rsidRDefault="00E61C3B" w:rsidP="007819AA">
                      <w:pPr>
                        <w:rPr>
                          <w:szCs w:val="20"/>
                        </w:rPr>
                      </w:pPr>
                    </w:p>
                  </w:txbxContent>
                </v:textbox>
                <w10:wrap type="square"/>
              </v:shape>
            </w:pict>
          </mc:Fallback>
        </mc:AlternateContent>
      </w:r>
      <w:r>
        <w:rPr>
          <w:rFonts w:ascii="Arial" w:hAnsi="Arial" w:cs="Arial"/>
          <w:noProof/>
          <w:sz w:val="20"/>
          <w:szCs w:val="20"/>
          <w:lang w:eastAsia="en-US"/>
        </w:rPr>
        <mc:AlternateContent>
          <mc:Choice Requires="wps">
            <w:drawing>
              <wp:anchor distT="0" distB="0" distL="114300" distR="114300" simplePos="0" relativeHeight="251657216" behindDoc="0" locked="0" layoutInCell="1" allowOverlap="1">
                <wp:simplePos x="0" y="0"/>
                <wp:positionH relativeFrom="column">
                  <wp:posOffset>3422650</wp:posOffset>
                </wp:positionH>
                <wp:positionV relativeFrom="paragraph">
                  <wp:posOffset>46990</wp:posOffset>
                </wp:positionV>
                <wp:extent cx="3037840" cy="1339215"/>
                <wp:effectExtent l="12700" t="8890" r="698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339215"/>
                        </a:xfrm>
                        <a:prstGeom prst="rect">
                          <a:avLst/>
                        </a:prstGeom>
                        <a:solidFill>
                          <a:srgbClr val="FFFFFF"/>
                        </a:solidFill>
                        <a:ln w="9525">
                          <a:solidFill>
                            <a:srgbClr val="000000"/>
                          </a:solidFill>
                          <a:miter lim="800000"/>
                          <a:headEnd/>
                          <a:tailEnd/>
                        </a:ln>
                      </wps:spPr>
                      <wps:txbx>
                        <w:txbxContent>
                          <w:p w:rsidR="00E61C3B" w:rsidRPr="00C51131" w:rsidRDefault="00E61C3B" w:rsidP="007819AA">
                            <w:r>
                              <w:t xml:space="preserve"> </w:t>
                            </w:r>
                            <w:r w:rsidR="00B80E79">
                              <w:rPr>
                                <w:noProof/>
                                <w:lang w:eastAsia="en-US"/>
                              </w:rPr>
                              <w:drawing>
                                <wp:inline distT="0" distB="0" distL="0" distR="0">
                                  <wp:extent cx="1322070" cy="1153160"/>
                                  <wp:effectExtent l="0" t="0" r="0" b="8890"/>
                                  <wp:docPr id="4" name="Picture 2" descr="Before_Duct_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ore_Duct_T19"/>
                                          <pic:cNvPicPr>
                                            <a:picLocks noChangeAspect="1" noChangeArrowheads="1"/>
                                          </pic:cNvPicPr>
                                        </pic:nvPicPr>
                                        <pic:blipFill>
                                          <a:blip r:embed="rId11">
                                            <a:extLst>
                                              <a:ext uri="{28A0092B-C50C-407E-A947-70E740481C1C}">
                                                <a14:useLocalDpi xmlns:a14="http://schemas.microsoft.com/office/drawing/2010/main" val="0"/>
                                              </a:ext>
                                            </a:extLst>
                                          </a:blip>
                                          <a:srcRect l="11583" t="20168" r="18832" b="13503"/>
                                          <a:stretch>
                                            <a:fillRect/>
                                          </a:stretch>
                                        </pic:blipFill>
                                        <pic:spPr bwMode="auto">
                                          <a:xfrm>
                                            <a:off x="0" y="0"/>
                                            <a:ext cx="1322070" cy="1153160"/>
                                          </a:xfrm>
                                          <a:prstGeom prst="rect">
                                            <a:avLst/>
                                          </a:prstGeom>
                                          <a:noFill/>
                                          <a:ln>
                                            <a:noFill/>
                                          </a:ln>
                                        </pic:spPr>
                                      </pic:pic>
                                    </a:graphicData>
                                  </a:graphic>
                                </wp:inline>
                              </w:drawing>
                            </w:r>
                            <w:r>
                              <w:t xml:space="preserve"> </w:t>
                            </w:r>
                            <w:r w:rsidR="00B80E79">
                              <w:rPr>
                                <w:noProof/>
                                <w:lang w:eastAsia="en-US"/>
                              </w:rPr>
                              <w:drawing>
                                <wp:inline distT="0" distB="0" distL="0" distR="0">
                                  <wp:extent cx="1310640" cy="1136015"/>
                                  <wp:effectExtent l="0" t="0" r="3810" b="6985"/>
                                  <wp:docPr id="1" name="Picture 3" descr="Before_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ore_Duct"/>
                                          <pic:cNvPicPr>
                                            <a:picLocks noChangeAspect="1" noChangeArrowheads="1"/>
                                          </pic:cNvPicPr>
                                        </pic:nvPicPr>
                                        <pic:blipFill>
                                          <a:blip r:embed="rId12">
                                            <a:extLst>
                                              <a:ext uri="{28A0092B-C50C-407E-A947-70E740481C1C}">
                                                <a14:useLocalDpi xmlns:a14="http://schemas.microsoft.com/office/drawing/2010/main" val="0"/>
                                              </a:ext>
                                            </a:extLst>
                                          </a:blip>
                                          <a:srcRect l="14615" t="15096" r="9616" b="11815"/>
                                          <a:stretch>
                                            <a:fillRect/>
                                          </a:stretch>
                                        </pic:blipFill>
                                        <pic:spPr bwMode="auto">
                                          <a:xfrm>
                                            <a:off x="0" y="0"/>
                                            <a:ext cx="1310640" cy="1136015"/>
                                          </a:xfrm>
                                          <a:prstGeom prst="rect">
                                            <a:avLst/>
                                          </a:prstGeom>
                                          <a:solidFill>
                                            <a:srgbClr val="C0504D"/>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69.5pt;margin-top:3.7pt;width:239.2pt;height:10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">
                <v:textbox>
                  <w:txbxContent>
                    <w:p w:rsidR="00E61C3B" w:rsidRPr="00C51131" w:rsidRDefault="00E61C3B" w:rsidP="007819AA">
                      <w:r>
                        <w:t xml:space="preserve"> </w:t>
                      </w:r>
                      <w:r w:rsidR="00B80E79">
                        <w:rPr>
                          <w:noProof/>
                          <w:lang w:eastAsia="en-US"/>
                        </w:rPr>
                        <w:drawing>
                          <wp:inline distT="0" distB="0" distL="0" distR="0">
                            <wp:extent cx="1322070" cy="1153160"/>
                            <wp:effectExtent l="0" t="0" r="0" b="8890"/>
                            <wp:docPr id="4" name="Picture 2" descr="Before_Duct_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ore_Duct_T19"/>
                                    <pic:cNvPicPr>
                                      <a:picLocks noChangeAspect="1" noChangeArrowheads="1"/>
                                    </pic:cNvPicPr>
                                  </pic:nvPicPr>
                                  <pic:blipFill>
                                    <a:blip r:embed="rId13">
                                      <a:extLst>
                                        <a:ext uri="{28A0092B-C50C-407E-A947-70E740481C1C}">
                                          <a14:useLocalDpi xmlns:a14="http://schemas.microsoft.com/office/drawing/2010/main" val="0"/>
                                        </a:ext>
                                      </a:extLst>
                                    </a:blip>
                                    <a:srcRect l="11583" t="20168" r="18832" b="13503"/>
                                    <a:stretch>
                                      <a:fillRect/>
                                    </a:stretch>
                                  </pic:blipFill>
                                  <pic:spPr bwMode="auto">
                                    <a:xfrm>
                                      <a:off x="0" y="0"/>
                                      <a:ext cx="1322070" cy="1153160"/>
                                    </a:xfrm>
                                    <a:prstGeom prst="rect">
                                      <a:avLst/>
                                    </a:prstGeom>
                                    <a:noFill/>
                                    <a:ln>
                                      <a:noFill/>
                                    </a:ln>
                                  </pic:spPr>
                                </pic:pic>
                              </a:graphicData>
                            </a:graphic>
                          </wp:inline>
                        </w:drawing>
                      </w:r>
                      <w:r>
                        <w:t xml:space="preserve"> </w:t>
                      </w:r>
                      <w:r w:rsidR="00B80E79">
                        <w:rPr>
                          <w:noProof/>
                          <w:lang w:eastAsia="en-US"/>
                        </w:rPr>
                        <w:drawing>
                          <wp:inline distT="0" distB="0" distL="0" distR="0">
                            <wp:extent cx="1310640" cy="1136015"/>
                            <wp:effectExtent l="0" t="0" r="3810" b="6985"/>
                            <wp:docPr id="1" name="Picture 3" descr="Before_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ore_Duct"/>
                                    <pic:cNvPicPr>
                                      <a:picLocks noChangeAspect="1" noChangeArrowheads="1"/>
                                    </pic:cNvPicPr>
                                  </pic:nvPicPr>
                                  <pic:blipFill>
                                    <a:blip r:embed="rId14">
                                      <a:extLst>
                                        <a:ext uri="{28A0092B-C50C-407E-A947-70E740481C1C}">
                                          <a14:useLocalDpi xmlns:a14="http://schemas.microsoft.com/office/drawing/2010/main" val="0"/>
                                        </a:ext>
                                      </a:extLst>
                                    </a:blip>
                                    <a:srcRect l="14615" t="15096" r="9616" b="11815"/>
                                    <a:stretch>
                                      <a:fillRect/>
                                    </a:stretch>
                                  </pic:blipFill>
                                  <pic:spPr bwMode="auto">
                                    <a:xfrm>
                                      <a:off x="0" y="0"/>
                                      <a:ext cx="1310640" cy="1136015"/>
                                    </a:xfrm>
                                    <a:prstGeom prst="rect">
                                      <a:avLst/>
                                    </a:prstGeom>
                                    <a:solidFill>
                                      <a:srgbClr val="C0504D"/>
                                    </a:solidFill>
                                    <a:ln>
                                      <a:noFill/>
                                    </a:ln>
                                  </pic:spPr>
                                </pic:pic>
                              </a:graphicData>
                            </a:graphic>
                          </wp:inline>
                        </w:drawing>
                      </w:r>
                    </w:p>
                  </w:txbxContent>
                </v:textbox>
                <w10:wrap type="square"/>
              </v:shape>
            </w:pict>
          </mc:Fallback>
        </mc:AlternateContent>
      </w:r>
      <w:r w:rsidR="007819AA" w:rsidRPr="00A404A6">
        <w:rPr>
          <w:rFonts w:ascii="Arial" w:hAnsi="Arial" w:cs="Arial"/>
          <w:sz w:val="20"/>
          <w:szCs w:val="20"/>
        </w:rPr>
        <w:t>The mutant kidney exhibits gross cystic formation and is several times larger than the wild type kidney (data not shown). Figure 1 shows data sets from the livers that have been segmented to isolate the biliary tree.  Total wild type liver volumes were larger than the mutants by a factor of 1.7 (519±72mm</w:t>
      </w:r>
      <w:r w:rsidR="007819AA" w:rsidRPr="00A404A6">
        <w:rPr>
          <w:rFonts w:ascii="Arial" w:hAnsi="Arial" w:cs="Arial"/>
          <w:sz w:val="20"/>
          <w:szCs w:val="20"/>
          <w:vertAlign w:val="superscript"/>
        </w:rPr>
        <w:t>3</w:t>
      </w:r>
      <w:r w:rsidR="007819AA" w:rsidRPr="00A404A6">
        <w:rPr>
          <w:rFonts w:ascii="Arial" w:hAnsi="Arial" w:cs="Arial"/>
          <w:sz w:val="20"/>
          <w:szCs w:val="20"/>
        </w:rPr>
        <w:t xml:space="preserve"> versus 292±119mm</w:t>
      </w:r>
      <w:r w:rsidR="007819AA" w:rsidRPr="00A404A6">
        <w:rPr>
          <w:rFonts w:ascii="Arial" w:hAnsi="Arial" w:cs="Arial"/>
          <w:sz w:val="20"/>
          <w:szCs w:val="20"/>
          <w:vertAlign w:val="superscript"/>
        </w:rPr>
        <w:t>3</w:t>
      </w:r>
      <w:r w:rsidR="007819AA" w:rsidRPr="00A404A6">
        <w:rPr>
          <w:rFonts w:ascii="Arial" w:hAnsi="Arial" w:cs="Arial"/>
          <w:sz w:val="20"/>
          <w:szCs w:val="20"/>
        </w:rPr>
        <w:t>), with the mutant livers exhibiting a much greater variability in volume.  After segmentation, the total biliary tree volumes were similarly differentiated (wild type = 87.3±8.5mm</w:t>
      </w:r>
      <w:r w:rsidR="007819AA" w:rsidRPr="00A404A6">
        <w:rPr>
          <w:rFonts w:ascii="Arial" w:hAnsi="Arial" w:cs="Arial"/>
          <w:sz w:val="20"/>
          <w:szCs w:val="20"/>
          <w:vertAlign w:val="superscript"/>
        </w:rPr>
        <w:t>3</w:t>
      </w:r>
      <w:r w:rsidR="007819AA" w:rsidRPr="00A404A6">
        <w:rPr>
          <w:rFonts w:ascii="Arial" w:hAnsi="Arial" w:cs="Arial"/>
          <w:sz w:val="20"/>
          <w:szCs w:val="20"/>
        </w:rPr>
        <w:t>, mutant = 35.0±22.4mm</w:t>
      </w:r>
      <w:r w:rsidR="007819AA" w:rsidRPr="00A404A6">
        <w:rPr>
          <w:rFonts w:ascii="Arial" w:hAnsi="Arial" w:cs="Arial"/>
          <w:sz w:val="20"/>
          <w:szCs w:val="20"/>
          <w:vertAlign w:val="superscript"/>
        </w:rPr>
        <w:t>3</w:t>
      </w:r>
      <w:r w:rsidR="007819AA" w:rsidRPr="00A404A6">
        <w:rPr>
          <w:rFonts w:ascii="Arial" w:hAnsi="Arial" w:cs="Arial"/>
          <w:sz w:val="20"/>
          <w:szCs w:val="20"/>
        </w:rPr>
        <w:t>).  The volume fraction of the biliary tree to the total liver volume was 0.17±0.3 in the wild type and 0.11±0.3 in the mutant (p=0.015). The wild type biliary tree exhibits more extensive and finer branching, indicating developmental abnormality in the mutant livers. These data are confirmed by histology.</w:t>
      </w:r>
    </w:p>
    <w:p w:rsidR="007819AA" w:rsidRPr="00A404A6" w:rsidRDefault="007819AA" w:rsidP="007819AA">
      <w:pPr>
        <w:rPr>
          <w:rFonts w:ascii="Arial" w:hAnsi="Arial" w:cs="Arial"/>
          <w:sz w:val="20"/>
          <w:szCs w:val="20"/>
        </w:rPr>
      </w:pPr>
    </w:p>
    <w:p w:rsidR="007819AA" w:rsidRPr="00A404A6" w:rsidRDefault="007819AA" w:rsidP="007819AA">
      <w:pPr>
        <w:rPr>
          <w:rFonts w:ascii="Arial" w:hAnsi="Arial" w:cs="Arial"/>
          <w:sz w:val="20"/>
          <w:szCs w:val="20"/>
        </w:rPr>
      </w:pPr>
      <w:r w:rsidRPr="00A404A6">
        <w:rPr>
          <w:rFonts w:ascii="Arial" w:hAnsi="Arial" w:cs="Arial"/>
          <w:b/>
          <w:sz w:val="20"/>
          <w:szCs w:val="20"/>
        </w:rPr>
        <w:t>Conclusions</w:t>
      </w:r>
    </w:p>
    <w:p w:rsidR="007819AA" w:rsidRPr="00A404A6" w:rsidRDefault="007819AA" w:rsidP="00783BA1">
      <w:pPr>
        <w:ind w:firstLine="360"/>
        <w:rPr>
          <w:rFonts w:ascii="Arial" w:hAnsi="Arial" w:cs="Arial"/>
          <w:sz w:val="20"/>
          <w:szCs w:val="20"/>
        </w:rPr>
      </w:pPr>
      <w:r w:rsidRPr="00A404A6">
        <w:rPr>
          <w:rFonts w:ascii="Arial" w:hAnsi="Arial" w:cs="Arial"/>
          <w:sz w:val="20"/>
          <w:szCs w:val="20"/>
        </w:rPr>
        <w:t>The quantitative MRM volumetric studies illustrate not only a clear difference in the normal and PDK liver volumes, but also a significant difference in the volume fraction of the biliary ducts to total liver volume</w:t>
      </w:r>
      <w:r w:rsidRPr="00A404A6">
        <w:rPr>
          <w:rFonts w:ascii="Arial" w:hAnsi="Arial" w:cs="Arial"/>
          <w:color w:val="000000"/>
          <w:sz w:val="20"/>
          <w:szCs w:val="20"/>
        </w:rPr>
        <w:t>.  These results suggest that MRM may play a role in evaluating genetic models of PKD, quantitating variance for genetic modifier studies and monitoring of potential therapies.  This complete work has now been published (2)</w:t>
      </w:r>
      <w:r w:rsidRPr="00A404A6">
        <w:rPr>
          <w:rFonts w:ascii="Arial" w:hAnsi="Arial" w:cs="Arial"/>
          <w:sz w:val="20"/>
          <w:szCs w:val="20"/>
        </w:rPr>
        <w:t>.</w:t>
      </w:r>
    </w:p>
    <w:p w:rsidR="00734E94" w:rsidRPr="00A404A6" w:rsidRDefault="00734E94" w:rsidP="0049187D">
      <w:pPr>
        <w:tabs>
          <w:tab w:val="left" w:pos="360"/>
        </w:tabs>
        <w:rPr>
          <w:rFonts w:ascii="Arial" w:hAnsi="Arial" w:cs="Arial"/>
          <w:sz w:val="20"/>
          <w:szCs w:val="20"/>
        </w:rPr>
      </w:pPr>
    </w:p>
    <w:p w:rsidR="00FB4399" w:rsidRPr="00A404A6" w:rsidRDefault="00E25473" w:rsidP="00FB4399">
      <w:pPr>
        <w:tabs>
          <w:tab w:val="left" w:pos="360"/>
        </w:tabs>
        <w:rPr>
          <w:rFonts w:ascii="Arial" w:hAnsi="Arial" w:cs="Arial"/>
          <w:b/>
          <w:sz w:val="20"/>
          <w:szCs w:val="20"/>
        </w:rPr>
      </w:pPr>
      <w:r w:rsidRPr="00A404A6">
        <w:rPr>
          <w:rFonts w:ascii="Arial" w:hAnsi="Arial" w:cs="Arial"/>
          <w:b/>
          <w:sz w:val="20"/>
          <w:szCs w:val="20"/>
        </w:rPr>
        <w:t>Acknowledgements</w:t>
      </w:r>
    </w:p>
    <w:p w:rsidR="004361B0" w:rsidRPr="00A404A6" w:rsidRDefault="00FB4399" w:rsidP="004361B0">
      <w:pPr>
        <w:tabs>
          <w:tab w:val="left" w:pos="360"/>
        </w:tabs>
        <w:rPr>
          <w:rFonts w:ascii="Arial" w:hAnsi="Arial" w:cs="Arial"/>
          <w:sz w:val="20"/>
          <w:szCs w:val="20"/>
        </w:rPr>
      </w:pPr>
      <w:r>
        <w:rPr>
          <w:rFonts w:ascii="Arial" w:eastAsia="Times New Roman" w:hAnsi="Arial" w:cs="Arial"/>
          <w:sz w:val="20"/>
          <w:szCs w:val="20"/>
          <w:lang w:eastAsia="en-US"/>
        </w:rPr>
        <w:tab/>
      </w:r>
      <w:r w:rsidR="004361B0" w:rsidRPr="00A404A6">
        <w:rPr>
          <w:rFonts w:ascii="Arial" w:eastAsia="Times New Roman" w:hAnsi="Arial" w:cs="Arial"/>
          <w:sz w:val="20"/>
          <w:szCs w:val="20"/>
          <w:lang w:eastAsia="en-US"/>
        </w:rPr>
        <w:t xml:space="preserve">Funded by the </w:t>
      </w:r>
      <w:r w:rsidR="00177398" w:rsidRPr="00A404A6">
        <w:rPr>
          <w:rFonts w:ascii="Arial" w:hAnsi="Arial" w:cs="Arial"/>
          <w:sz w:val="20"/>
          <w:szCs w:val="20"/>
        </w:rPr>
        <w:t>NIH (</w:t>
      </w:r>
      <w:r w:rsidR="007819AA" w:rsidRPr="00A404A6">
        <w:rPr>
          <w:rFonts w:ascii="Arial" w:hAnsi="Arial" w:cs="Arial"/>
          <w:sz w:val="20"/>
          <w:szCs w:val="20"/>
        </w:rPr>
        <w:t>P41 RR16105 and 1R01EB012874)</w:t>
      </w:r>
      <w:r w:rsidR="00A404A6" w:rsidRPr="00A404A6">
        <w:rPr>
          <w:rFonts w:ascii="Arial" w:hAnsi="Arial" w:cs="Arial"/>
          <w:sz w:val="20"/>
          <w:szCs w:val="20"/>
        </w:rPr>
        <w:t xml:space="preserve">, a Burroughs </w:t>
      </w:r>
      <w:proofErr w:type="spellStart"/>
      <w:r w:rsidR="00A404A6" w:rsidRPr="00A404A6">
        <w:rPr>
          <w:rFonts w:ascii="Arial" w:hAnsi="Arial" w:cs="Arial"/>
          <w:sz w:val="20"/>
          <w:szCs w:val="20"/>
        </w:rPr>
        <w:t>Wellcome</w:t>
      </w:r>
      <w:proofErr w:type="spellEnd"/>
      <w:r w:rsidR="00A404A6" w:rsidRPr="00A404A6">
        <w:rPr>
          <w:rFonts w:ascii="Arial" w:hAnsi="Arial" w:cs="Arial"/>
          <w:sz w:val="20"/>
          <w:szCs w:val="20"/>
        </w:rPr>
        <w:t xml:space="preserve"> Clinical Scientist Award in Translational Research</w:t>
      </w:r>
      <w:r w:rsidR="00177398" w:rsidRPr="00A404A6">
        <w:rPr>
          <w:rFonts w:ascii="Arial" w:hAnsi="Arial" w:cs="Arial"/>
          <w:sz w:val="20"/>
          <w:szCs w:val="20"/>
        </w:rPr>
        <w:t xml:space="preserve"> and</w:t>
      </w:r>
      <w:r w:rsidR="00177398" w:rsidRPr="00A404A6">
        <w:rPr>
          <w:rFonts w:ascii="Arial" w:eastAsia="Times New Roman" w:hAnsi="Arial" w:cs="Arial"/>
          <w:sz w:val="20"/>
          <w:szCs w:val="20"/>
          <w:lang w:eastAsia="en-US"/>
        </w:rPr>
        <w:t xml:space="preserve"> performed at the NHMFL</w:t>
      </w:r>
      <w:r w:rsidRPr="00A404A6">
        <w:rPr>
          <w:rFonts w:ascii="Arial" w:eastAsia="Times New Roman" w:hAnsi="Arial" w:cs="Arial"/>
          <w:sz w:val="20"/>
          <w:szCs w:val="20"/>
          <w:lang w:eastAsia="en-US"/>
        </w:rPr>
        <w:t>, which is supported by National Science Foundation Coopera</w:t>
      </w:r>
      <w:r w:rsidR="003A1FF5" w:rsidRPr="00A404A6">
        <w:rPr>
          <w:rFonts w:ascii="Arial" w:eastAsia="Times New Roman" w:hAnsi="Arial" w:cs="Arial"/>
          <w:sz w:val="20"/>
          <w:szCs w:val="20"/>
          <w:lang w:eastAsia="en-US"/>
        </w:rPr>
        <w:t xml:space="preserve">tive Agreement No. </w:t>
      </w:r>
      <w:proofErr w:type="gramStart"/>
      <w:r w:rsidR="003A1FF5" w:rsidRPr="00A404A6">
        <w:rPr>
          <w:rFonts w:ascii="Arial" w:eastAsia="Times New Roman" w:hAnsi="Arial" w:cs="Arial"/>
          <w:sz w:val="20"/>
          <w:szCs w:val="20"/>
          <w:lang w:eastAsia="en-US"/>
        </w:rPr>
        <w:t>DMR-1157490</w:t>
      </w:r>
      <w:r w:rsidR="00A758E6" w:rsidRPr="00A404A6">
        <w:rPr>
          <w:rFonts w:ascii="Arial" w:eastAsia="Times New Roman" w:hAnsi="Arial" w:cs="Arial"/>
          <w:sz w:val="20"/>
          <w:szCs w:val="20"/>
          <w:lang w:eastAsia="en-US"/>
        </w:rPr>
        <w:t xml:space="preserve"> and </w:t>
      </w:r>
      <w:r w:rsidRPr="00A404A6">
        <w:rPr>
          <w:rFonts w:ascii="Arial" w:eastAsia="Times New Roman" w:hAnsi="Arial" w:cs="Arial"/>
          <w:sz w:val="20"/>
          <w:szCs w:val="20"/>
          <w:lang w:eastAsia="en-US"/>
        </w:rPr>
        <w:t>the Stat</w:t>
      </w:r>
      <w:r w:rsidR="00334CEB" w:rsidRPr="00A404A6">
        <w:rPr>
          <w:rFonts w:ascii="Arial" w:eastAsia="Times New Roman" w:hAnsi="Arial" w:cs="Arial"/>
          <w:sz w:val="20"/>
          <w:szCs w:val="20"/>
          <w:lang w:eastAsia="en-US"/>
        </w:rPr>
        <w:t>e of Florida</w:t>
      </w:r>
      <w:r w:rsidR="00177398" w:rsidRPr="00A404A6">
        <w:rPr>
          <w:rFonts w:ascii="Arial" w:eastAsia="Times New Roman" w:hAnsi="Arial" w:cs="Arial"/>
          <w:sz w:val="20"/>
          <w:szCs w:val="20"/>
          <w:lang w:eastAsia="en-US"/>
        </w:rPr>
        <w:t>.</w:t>
      </w:r>
      <w:proofErr w:type="gramEnd"/>
    </w:p>
    <w:p w:rsidR="00E25473" w:rsidRPr="004361B0" w:rsidRDefault="00FB4399" w:rsidP="0049187D">
      <w:pPr>
        <w:tabs>
          <w:tab w:val="left" w:pos="360"/>
        </w:tabs>
        <w:rPr>
          <w:rFonts w:ascii="Arial" w:eastAsia="Times New Roman" w:hAnsi="Arial" w:cs="Arial"/>
          <w:sz w:val="20"/>
          <w:szCs w:val="20"/>
          <w:lang w:eastAsia="en-US"/>
        </w:rPr>
      </w:pPr>
      <w:r w:rsidRPr="00FB4399">
        <w:rPr>
          <w:rFonts w:ascii="Arial" w:hAnsi="Arial" w:cs="Arial"/>
          <w:sz w:val="20"/>
          <w:szCs w:val="20"/>
        </w:rPr>
        <w:t xml:space="preserve"> </w:t>
      </w:r>
    </w:p>
    <w:p w:rsidR="00E61C3B" w:rsidRPr="00A404A6" w:rsidRDefault="00E61C3B" w:rsidP="00E61C3B">
      <w:pPr>
        <w:rPr>
          <w:rFonts w:ascii="Arial" w:hAnsi="Arial" w:cs="Arial"/>
          <w:sz w:val="20"/>
          <w:szCs w:val="20"/>
        </w:rPr>
      </w:pPr>
      <w:r w:rsidRPr="00A404A6">
        <w:rPr>
          <w:rFonts w:ascii="Arial" w:hAnsi="Arial" w:cs="Arial"/>
          <w:b/>
          <w:sz w:val="20"/>
          <w:szCs w:val="20"/>
        </w:rPr>
        <w:t>References</w:t>
      </w:r>
      <w:r w:rsidRPr="00A404A6">
        <w:rPr>
          <w:rFonts w:ascii="Arial" w:hAnsi="Arial" w:cs="Arial"/>
          <w:sz w:val="20"/>
          <w:szCs w:val="20"/>
        </w:rPr>
        <w:t xml:space="preserve"> </w:t>
      </w:r>
    </w:p>
    <w:p w:rsidR="000C6493" w:rsidRPr="00E61C3B" w:rsidRDefault="00E61C3B" w:rsidP="00783BA1">
      <w:pPr>
        <w:numPr>
          <w:ilvl w:val="0"/>
          <w:numId w:val="11"/>
        </w:numPr>
        <w:ind w:left="360"/>
        <w:rPr>
          <w:rFonts w:ascii="Arial" w:hAnsi="Arial" w:cs="Arial"/>
          <w:b/>
          <w:sz w:val="20"/>
          <w:szCs w:val="20"/>
        </w:rPr>
      </w:pPr>
      <w:r w:rsidRPr="00A404A6">
        <w:rPr>
          <w:rFonts w:ascii="Arial" w:hAnsi="Arial" w:cs="Arial"/>
          <w:sz w:val="20"/>
          <w:szCs w:val="20"/>
        </w:rPr>
        <w:t>Cowley BD.  Drugs. 64(12):1285-94 (2004</w:t>
      </w:r>
      <w:r w:rsidRPr="00E61C3B">
        <w:rPr>
          <w:rFonts w:ascii="Arial" w:hAnsi="Arial" w:cs="Arial"/>
          <w:sz w:val="20"/>
          <w:szCs w:val="20"/>
        </w:rPr>
        <w:t>).   2.</w:t>
      </w:r>
      <w:r>
        <w:rPr>
          <w:rFonts w:ascii="Arial" w:hAnsi="Arial" w:cs="Arial"/>
          <w:b/>
          <w:sz w:val="20"/>
          <w:szCs w:val="20"/>
        </w:rPr>
        <w:t xml:space="preserve"> </w:t>
      </w:r>
      <w:r w:rsidR="000C6493" w:rsidRPr="00E61C3B">
        <w:rPr>
          <w:rFonts w:ascii="Arial" w:hAnsi="Arial" w:cs="Arial"/>
          <w:sz w:val="20"/>
          <w:szCs w:val="20"/>
          <w:lang w:eastAsia="en-US"/>
        </w:rPr>
        <w:t xml:space="preserve">Lee CH, et al, </w:t>
      </w:r>
      <w:proofErr w:type="spellStart"/>
      <w:r w:rsidR="000C6493" w:rsidRPr="00E61C3B">
        <w:rPr>
          <w:rFonts w:ascii="Arial" w:hAnsi="Arial" w:cs="Arial"/>
          <w:sz w:val="20"/>
          <w:szCs w:val="20"/>
          <w:lang w:eastAsia="en-US"/>
        </w:rPr>
        <w:t>Physiol</w:t>
      </w:r>
      <w:proofErr w:type="spellEnd"/>
      <w:r w:rsidR="000C6493" w:rsidRPr="00E61C3B">
        <w:rPr>
          <w:rFonts w:ascii="Arial" w:hAnsi="Arial" w:cs="Arial"/>
          <w:sz w:val="20"/>
          <w:szCs w:val="20"/>
          <w:lang w:eastAsia="en-US"/>
        </w:rPr>
        <w:t xml:space="preserve"> Rep. </w:t>
      </w:r>
      <w:r w:rsidR="000C6493" w:rsidRPr="00E61C3B">
        <w:rPr>
          <w:rFonts w:ascii="Arial" w:hAnsi="Arial" w:cs="Arial"/>
          <w:b/>
          <w:sz w:val="20"/>
          <w:szCs w:val="20"/>
          <w:lang w:eastAsia="en-US"/>
        </w:rPr>
        <w:t>3</w:t>
      </w:r>
      <w:r w:rsidR="000C6493" w:rsidRPr="00E61C3B">
        <w:rPr>
          <w:rFonts w:ascii="Arial" w:hAnsi="Arial" w:cs="Arial"/>
          <w:sz w:val="20"/>
          <w:szCs w:val="20"/>
          <w:lang w:eastAsia="en-US"/>
        </w:rPr>
        <w:t>(8</w:t>
      </w:r>
      <w:bookmarkStart w:id="0" w:name="_GoBack"/>
      <w:bookmarkEnd w:id="0"/>
      <w:r w:rsidR="000C6493" w:rsidRPr="00E61C3B">
        <w:rPr>
          <w:rFonts w:ascii="Arial" w:hAnsi="Arial" w:cs="Arial"/>
          <w:sz w:val="20"/>
          <w:szCs w:val="20"/>
          <w:lang w:eastAsia="en-US"/>
        </w:rPr>
        <w:t>) (2015)</w:t>
      </w:r>
    </w:p>
    <w:sectPr w:rsidR="000C6493" w:rsidRPr="00E61C3B" w:rsidSect="00450C97">
      <w:headerReference w:type="even" r:id="rId15"/>
      <w:headerReference w:type="default" r:id="rId16"/>
      <w:footerReference w:type="even" r:id="rId17"/>
      <w:footerReference w:type="default" r:id="rId18"/>
      <w:headerReference w:type="first" r:id="rId19"/>
      <w:footerReference w:type="first" r:id="rId20"/>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CCA" w:rsidRDefault="00CC2CCA">
      <w:r>
        <w:separator/>
      </w:r>
    </w:p>
  </w:endnote>
  <w:endnote w:type="continuationSeparator" w:id="0">
    <w:p w:rsidR="00CC2CCA" w:rsidRDefault="00CC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3B" w:rsidRDefault="00E61C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3B" w:rsidRDefault="00E61C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3B" w:rsidRDefault="00E61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CCA" w:rsidRDefault="00CC2CCA">
      <w:r>
        <w:separator/>
      </w:r>
    </w:p>
  </w:footnote>
  <w:footnote w:type="continuationSeparator" w:id="0">
    <w:p w:rsidR="00CC2CCA" w:rsidRDefault="00CC2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3B" w:rsidRDefault="00E61C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3B" w:rsidRDefault="00B80E79"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1200150</wp:posOffset>
              </wp:positionH>
              <wp:positionV relativeFrom="paragraph">
                <wp:posOffset>66040</wp:posOffset>
              </wp:positionV>
              <wp:extent cx="3876675" cy="429260"/>
              <wp:effectExtent l="0" t="0" r="952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1C3B" w:rsidRPr="00306550" w:rsidRDefault="00E61C3B"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Pr>
                              <w:rFonts w:ascii="Arial" w:hAnsi="Arial" w:cs="Arial"/>
                              <w:b/>
                              <w:color w:val="17365D"/>
                              <w:sz w:val="22"/>
                              <w:szCs w:val="22"/>
                            </w:rPr>
                            <w:t>LABORATORY</w:t>
                          </w:r>
                        </w:p>
                        <w:p w:rsidR="00E61C3B" w:rsidRPr="00306550" w:rsidRDefault="00E61C3B" w:rsidP="001E6BF4">
                          <w:pPr>
                            <w:jc w:val="center"/>
                            <w:rPr>
                              <w:rFonts w:ascii="Arial" w:hAnsi="Arial" w:cs="Arial"/>
                              <w:b/>
                              <w:color w:val="17365D"/>
                              <w:sz w:val="22"/>
                              <w:szCs w:val="22"/>
                            </w:rPr>
                          </w:pPr>
                          <w:r w:rsidRPr="00306550">
                            <w:rPr>
                              <w:rFonts w:ascii="Arial" w:hAnsi="Arial" w:cs="Arial"/>
                              <w:b/>
                              <w:color w:val="17365D"/>
                              <w:sz w:val="22"/>
                              <w:szCs w:val="22"/>
                            </w:rPr>
                            <w:t>201</w:t>
                          </w:r>
                          <w:r>
                            <w:rPr>
                              <w:rFonts w:ascii="Arial" w:hAnsi="Arial" w:cs="Arial"/>
                              <w:b/>
                              <w:color w:val="17365D"/>
                              <w:sz w:val="22"/>
                              <w:szCs w:val="22"/>
                            </w:rPr>
                            <w:t xml:space="preserve">5 </w:t>
                          </w:r>
                          <w:r w:rsidRPr="00306550">
                            <w:rPr>
                              <w:rFonts w:ascii="Arial" w:hAnsi="Arial" w:cs="Arial"/>
                              <w:b/>
                              <w:color w:val="17365D"/>
                              <w:sz w:val="22"/>
                              <w:szCs w:val="22"/>
                            </w:rPr>
                            <w:t>ANNUAL RESEARCH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4.5pt;margin-top:5.2pt;width:305.25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c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V4v5bDafYkTBVuRlPov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5LOy5ZXNuIYoCVI09RuP0&#10;xo9tvzNWbFu4aZSx0lcgxEZE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AksvJyC&#10;AgAADwUAAA4AAAAAAAAAAAAAAAAALgIAAGRycy9lMm9Eb2MueG1sUEsBAi0AFAAGAAgAAAAhABa7&#10;fX3dAAAACQEAAA8AAAAAAAAAAAAAAAAA3AQAAGRycy9kb3ducmV2LnhtbFBLBQYAAAAABAAEAPMA&#10;AADmBQAAAAA=&#10;" stroked="f">
              <v:textbox>
                <w:txbxContent>
                  <w:p w:rsidR="00E61C3B" w:rsidRPr="00306550" w:rsidRDefault="00E61C3B"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Pr>
                        <w:rFonts w:ascii="Arial" w:hAnsi="Arial" w:cs="Arial"/>
                        <w:b/>
                        <w:color w:val="17365D"/>
                        <w:sz w:val="22"/>
                        <w:szCs w:val="22"/>
                      </w:rPr>
                      <w:t>LABORATORY</w:t>
                    </w:r>
                  </w:p>
                  <w:p w:rsidR="00E61C3B" w:rsidRPr="00306550" w:rsidRDefault="00E61C3B" w:rsidP="001E6BF4">
                    <w:pPr>
                      <w:jc w:val="center"/>
                      <w:rPr>
                        <w:rFonts w:ascii="Arial" w:hAnsi="Arial" w:cs="Arial"/>
                        <w:b/>
                        <w:color w:val="17365D"/>
                        <w:sz w:val="22"/>
                        <w:szCs w:val="22"/>
                      </w:rPr>
                    </w:pPr>
                    <w:r w:rsidRPr="00306550">
                      <w:rPr>
                        <w:rFonts w:ascii="Arial" w:hAnsi="Arial" w:cs="Arial"/>
                        <w:b/>
                        <w:color w:val="17365D"/>
                        <w:sz w:val="22"/>
                        <w:szCs w:val="22"/>
                      </w:rPr>
                      <w:t>201</w:t>
                    </w:r>
                    <w:r>
                      <w:rPr>
                        <w:rFonts w:ascii="Arial" w:hAnsi="Arial" w:cs="Arial"/>
                        <w:b/>
                        <w:color w:val="17365D"/>
                        <w:sz w:val="22"/>
                        <w:szCs w:val="22"/>
                      </w:rPr>
                      <w:t xml:space="preserve">5 </w:t>
                    </w:r>
                    <w:r w:rsidRPr="00306550">
                      <w:rPr>
                        <w:rFonts w:ascii="Arial" w:hAnsi="Arial" w:cs="Arial"/>
                        <w:b/>
                        <w:color w:val="17365D"/>
                        <w:sz w:val="22"/>
                        <w:szCs w:val="22"/>
                      </w:rPr>
                      <w:t>ANNUAL RESEARCH REPORT</w:t>
                    </w:r>
                  </w:p>
                </w:txbxContent>
              </v:textbox>
            </v:shape>
          </w:pict>
        </mc:Fallback>
      </mc:AlternateContent>
    </w:r>
    <w:r>
      <w:rPr>
        <w:rFonts w:ascii="Arial" w:hAnsi="Arial" w:cs="Arial"/>
        <w:b/>
        <w:smallCaps/>
        <w:noProof/>
        <w:color w:val="1F497D"/>
        <w:spacing w:val="5"/>
        <w:sz w:val="22"/>
        <w:szCs w:val="22"/>
        <w:lang w:eastAsia="en-US"/>
      </w:rPr>
      <w:drawing>
        <wp:inline distT="0" distB="0" distL="0" distR="0">
          <wp:extent cx="518160" cy="629285"/>
          <wp:effectExtent l="0" t="0" r="0" b="0"/>
          <wp:docPr id="3"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6292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C3B" w:rsidRDefault="00E61C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69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2403A6"/>
    <w:multiLevelType w:val="hybridMultilevel"/>
    <w:tmpl w:val="823E1AB6"/>
    <w:lvl w:ilvl="0" w:tplc="6DC6A3EE">
      <w:start w:val="1"/>
      <w:numFmt w:val="decimal"/>
      <w:lvlText w:val="%1."/>
      <w:lvlJc w:val="left"/>
      <w:pPr>
        <w:ind w:left="720" w:hanging="360"/>
      </w:pPr>
      <w:rPr>
        <w:rFonts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A3E51"/>
    <w:multiLevelType w:val="hybridMultilevel"/>
    <w:tmpl w:val="C0E6F42E"/>
    <w:lvl w:ilvl="0" w:tplc="8424D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130DAF"/>
    <w:multiLevelType w:val="hybridMultilevel"/>
    <w:tmpl w:val="67E68284"/>
    <w:lvl w:ilvl="0" w:tplc="8B70AEF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1683E2E"/>
    <w:multiLevelType w:val="hybridMultilevel"/>
    <w:tmpl w:val="C0E6F42E"/>
    <w:lvl w:ilvl="0" w:tplc="8424D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6"/>
  </w:num>
  <w:num w:numId="4">
    <w:abstractNumId w:val="2"/>
  </w:num>
  <w:num w:numId="5">
    <w:abstractNumId w:val="0"/>
  </w:num>
  <w:num w:numId="6">
    <w:abstractNumId w:val="9"/>
  </w:num>
  <w:num w:numId="7">
    <w:abstractNumId w:val="1"/>
  </w:num>
  <w:num w:numId="8">
    <w:abstractNumId w:val="4"/>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C19"/>
    <w:rsid w:val="00020C55"/>
    <w:rsid w:val="000558AC"/>
    <w:rsid w:val="000736B9"/>
    <w:rsid w:val="00085670"/>
    <w:rsid w:val="000A1716"/>
    <w:rsid w:val="000A59A8"/>
    <w:rsid w:val="000C6493"/>
    <w:rsid w:val="000E1D4F"/>
    <w:rsid w:val="00104A4C"/>
    <w:rsid w:val="00113D92"/>
    <w:rsid w:val="00120180"/>
    <w:rsid w:val="0014131B"/>
    <w:rsid w:val="00141FE9"/>
    <w:rsid w:val="00155AD2"/>
    <w:rsid w:val="00167606"/>
    <w:rsid w:val="00177398"/>
    <w:rsid w:val="001836FA"/>
    <w:rsid w:val="0018419E"/>
    <w:rsid w:val="0018697C"/>
    <w:rsid w:val="00187023"/>
    <w:rsid w:val="001D59E4"/>
    <w:rsid w:val="001E526E"/>
    <w:rsid w:val="001E5ECF"/>
    <w:rsid w:val="001E6BF4"/>
    <w:rsid w:val="00231335"/>
    <w:rsid w:val="00233F11"/>
    <w:rsid w:val="00241739"/>
    <w:rsid w:val="002426D5"/>
    <w:rsid w:val="002524EE"/>
    <w:rsid w:val="00265A15"/>
    <w:rsid w:val="00290223"/>
    <w:rsid w:val="002C7675"/>
    <w:rsid w:val="00306550"/>
    <w:rsid w:val="00312C04"/>
    <w:rsid w:val="00334CEB"/>
    <w:rsid w:val="0034775C"/>
    <w:rsid w:val="003560D2"/>
    <w:rsid w:val="00363C8F"/>
    <w:rsid w:val="00376D2C"/>
    <w:rsid w:val="00393065"/>
    <w:rsid w:val="003A1FF5"/>
    <w:rsid w:val="003C6493"/>
    <w:rsid w:val="003E2F8E"/>
    <w:rsid w:val="003F55A7"/>
    <w:rsid w:val="003F6E7E"/>
    <w:rsid w:val="00410D2C"/>
    <w:rsid w:val="00420894"/>
    <w:rsid w:val="004361B0"/>
    <w:rsid w:val="00450C97"/>
    <w:rsid w:val="00467BEC"/>
    <w:rsid w:val="00486FF9"/>
    <w:rsid w:val="0049187D"/>
    <w:rsid w:val="00491C5D"/>
    <w:rsid w:val="004A227C"/>
    <w:rsid w:val="004C7F18"/>
    <w:rsid w:val="004F160B"/>
    <w:rsid w:val="005034C0"/>
    <w:rsid w:val="00511F7E"/>
    <w:rsid w:val="005173CE"/>
    <w:rsid w:val="0053142A"/>
    <w:rsid w:val="005452B9"/>
    <w:rsid w:val="0056433E"/>
    <w:rsid w:val="00583BC3"/>
    <w:rsid w:val="005A1B84"/>
    <w:rsid w:val="005C4422"/>
    <w:rsid w:val="005C4667"/>
    <w:rsid w:val="005C5648"/>
    <w:rsid w:val="005E7C3F"/>
    <w:rsid w:val="00625028"/>
    <w:rsid w:val="00627F7D"/>
    <w:rsid w:val="006612DC"/>
    <w:rsid w:val="00672D41"/>
    <w:rsid w:val="006B3824"/>
    <w:rsid w:val="006C4440"/>
    <w:rsid w:val="006D745E"/>
    <w:rsid w:val="006E2CE0"/>
    <w:rsid w:val="006E4A9F"/>
    <w:rsid w:val="007149D0"/>
    <w:rsid w:val="007207FF"/>
    <w:rsid w:val="00731C19"/>
    <w:rsid w:val="00734E94"/>
    <w:rsid w:val="00764FB5"/>
    <w:rsid w:val="00774A49"/>
    <w:rsid w:val="007819AA"/>
    <w:rsid w:val="00783BA1"/>
    <w:rsid w:val="007C0813"/>
    <w:rsid w:val="007D3105"/>
    <w:rsid w:val="007E2F28"/>
    <w:rsid w:val="00862CB5"/>
    <w:rsid w:val="00883638"/>
    <w:rsid w:val="008A1D84"/>
    <w:rsid w:val="008B05B8"/>
    <w:rsid w:val="008C5788"/>
    <w:rsid w:val="008E5BC5"/>
    <w:rsid w:val="008E5C85"/>
    <w:rsid w:val="008F35CC"/>
    <w:rsid w:val="008F6083"/>
    <w:rsid w:val="008F6279"/>
    <w:rsid w:val="009648AC"/>
    <w:rsid w:val="009A39F6"/>
    <w:rsid w:val="009A3F73"/>
    <w:rsid w:val="009B41B2"/>
    <w:rsid w:val="009C318D"/>
    <w:rsid w:val="009C3DF0"/>
    <w:rsid w:val="009C7F31"/>
    <w:rsid w:val="009D39A4"/>
    <w:rsid w:val="009D501D"/>
    <w:rsid w:val="009E4F1E"/>
    <w:rsid w:val="00A1227A"/>
    <w:rsid w:val="00A314D3"/>
    <w:rsid w:val="00A404A6"/>
    <w:rsid w:val="00A55035"/>
    <w:rsid w:val="00A758E6"/>
    <w:rsid w:val="00A94FC4"/>
    <w:rsid w:val="00AC297F"/>
    <w:rsid w:val="00AC4AFE"/>
    <w:rsid w:val="00AD3CDD"/>
    <w:rsid w:val="00AE142B"/>
    <w:rsid w:val="00AF7C63"/>
    <w:rsid w:val="00B00CDB"/>
    <w:rsid w:val="00B25D4D"/>
    <w:rsid w:val="00B45112"/>
    <w:rsid w:val="00B5585D"/>
    <w:rsid w:val="00B71405"/>
    <w:rsid w:val="00B75DC9"/>
    <w:rsid w:val="00B80E79"/>
    <w:rsid w:val="00B92B09"/>
    <w:rsid w:val="00B94321"/>
    <w:rsid w:val="00B95FCB"/>
    <w:rsid w:val="00B96080"/>
    <w:rsid w:val="00BA00BE"/>
    <w:rsid w:val="00BA7096"/>
    <w:rsid w:val="00BE2257"/>
    <w:rsid w:val="00C02989"/>
    <w:rsid w:val="00C076C7"/>
    <w:rsid w:val="00C13313"/>
    <w:rsid w:val="00C75A17"/>
    <w:rsid w:val="00C81666"/>
    <w:rsid w:val="00C83434"/>
    <w:rsid w:val="00C83EAA"/>
    <w:rsid w:val="00C93F0D"/>
    <w:rsid w:val="00CA6625"/>
    <w:rsid w:val="00CB0819"/>
    <w:rsid w:val="00CB1A7C"/>
    <w:rsid w:val="00CB4058"/>
    <w:rsid w:val="00CC2CCA"/>
    <w:rsid w:val="00CC5B40"/>
    <w:rsid w:val="00CE3F90"/>
    <w:rsid w:val="00D01F6B"/>
    <w:rsid w:val="00D0313F"/>
    <w:rsid w:val="00D07879"/>
    <w:rsid w:val="00D1756D"/>
    <w:rsid w:val="00D60B8B"/>
    <w:rsid w:val="00D65CBB"/>
    <w:rsid w:val="00D67B56"/>
    <w:rsid w:val="00D851F6"/>
    <w:rsid w:val="00DD44E5"/>
    <w:rsid w:val="00DE3216"/>
    <w:rsid w:val="00E04B24"/>
    <w:rsid w:val="00E07ED9"/>
    <w:rsid w:val="00E25473"/>
    <w:rsid w:val="00E27CDD"/>
    <w:rsid w:val="00E411D1"/>
    <w:rsid w:val="00E43BB4"/>
    <w:rsid w:val="00E5095B"/>
    <w:rsid w:val="00E57E61"/>
    <w:rsid w:val="00E60509"/>
    <w:rsid w:val="00E61C3B"/>
    <w:rsid w:val="00EA1E33"/>
    <w:rsid w:val="00EB489A"/>
    <w:rsid w:val="00EB515D"/>
    <w:rsid w:val="00F23F2F"/>
    <w:rsid w:val="00F31351"/>
    <w:rsid w:val="00F31B06"/>
    <w:rsid w:val="00F43581"/>
    <w:rsid w:val="00F4530F"/>
    <w:rsid w:val="00F45B22"/>
    <w:rsid w:val="00F52E02"/>
    <w:rsid w:val="00F54466"/>
    <w:rsid w:val="00F8198A"/>
    <w:rsid w:val="00F908F6"/>
    <w:rsid w:val="00F935F1"/>
    <w:rsid w:val="00F95583"/>
    <w:rsid w:val="00F974C6"/>
    <w:rsid w:val="00FB4399"/>
    <w:rsid w:val="00FB547A"/>
    <w:rsid w:val="00FD7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character" w:styleId="Strong">
    <w:name w:val="Strong"/>
    <w:qFormat/>
    <w:rsid w:val="00B92B09"/>
    <w:rPr>
      <w:b/>
      <w:bCs/>
    </w:rPr>
  </w:style>
  <w:style w:type="character" w:styleId="Hyperlink">
    <w:name w:val="Hyperlink"/>
    <w:uiPriority w:val="99"/>
    <w:unhideWhenUsed/>
    <w:rsid w:val="00467BEC"/>
    <w:rPr>
      <w:color w:val="0000FF"/>
      <w:u w:val="single"/>
    </w:rPr>
  </w:style>
  <w:style w:type="character" w:customStyle="1" w:styleId="jrnl">
    <w:name w:val="jrnl"/>
    <w:rsid w:val="00467B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character" w:styleId="Strong">
    <w:name w:val="Strong"/>
    <w:qFormat/>
    <w:rsid w:val="00B92B09"/>
    <w:rPr>
      <w:b/>
      <w:bCs/>
    </w:rPr>
  </w:style>
  <w:style w:type="character" w:styleId="Hyperlink">
    <w:name w:val="Hyperlink"/>
    <w:uiPriority w:val="99"/>
    <w:unhideWhenUsed/>
    <w:rsid w:val="00467BEC"/>
    <w:rPr>
      <w:color w:val="0000FF"/>
      <w:u w:val="single"/>
    </w:rPr>
  </w:style>
  <w:style w:type="character" w:customStyle="1" w:styleId="jrnl">
    <w:name w:val="jrnl"/>
    <w:rsid w:val="00467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CE78C0-49F8-4983-A424-99E3ECED90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8F5D4D-748B-4574-A706-3F69CB5522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3</TotalTime>
  <Pages>1</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Anke Toth</dc:creator>
  <cp:lastModifiedBy>Anke Toth</cp:lastModifiedBy>
  <cp:revision>3</cp:revision>
  <cp:lastPrinted>2015-07-15T21:10:00Z</cp:lastPrinted>
  <dcterms:created xsi:type="dcterms:W3CDTF">2016-02-10T19:20:00Z</dcterms:created>
  <dcterms:modified xsi:type="dcterms:W3CDTF">2016-02-10T19:22:00Z</dcterms:modified>
</cp:coreProperties>
</file>