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68" w:rsidRDefault="000F4F56">
      <w:pPr>
        <w:tabs>
          <w:tab w:val="left" w:pos="360"/>
        </w:tabs>
        <w:jc w:val="center"/>
        <w:rPr>
          <w:rFonts w:ascii="Arial" w:eastAsia="Arial" w:hAnsi="Arial" w:cs="Arial"/>
          <w:b/>
          <w:bCs/>
        </w:rPr>
      </w:pPr>
      <w:r>
        <w:rPr>
          <w:rFonts w:ascii="Arial" w:hAnsi="Arial"/>
          <w:b/>
          <w:bCs/>
        </w:rPr>
        <w:t xml:space="preserve">MRI </w:t>
      </w:r>
      <w:r w:rsidR="000B6454">
        <w:rPr>
          <w:rFonts w:ascii="Arial" w:hAnsi="Arial"/>
          <w:b/>
          <w:bCs/>
        </w:rPr>
        <w:t>Microscopy of Human Motor Neurons Progress Report</w:t>
      </w:r>
    </w:p>
    <w:p w:rsidR="00ED7668" w:rsidRDefault="00ED7668">
      <w:pPr>
        <w:tabs>
          <w:tab w:val="left" w:pos="360"/>
        </w:tabs>
        <w:rPr>
          <w:rFonts w:ascii="Arial" w:eastAsia="Arial" w:hAnsi="Arial" w:cs="Arial"/>
          <w:sz w:val="20"/>
          <w:szCs w:val="20"/>
        </w:rPr>
      </w:pPr>
    </w:p>
    <w:p w:rsidR="00ED7668" w:rsidRDefault="000F4F56">
      <w:pPr>
        <w:tabs>
          <w:tab w:val="left" w:pos="360"/>
        </w:tabs>
        <w:rPr>
          <w:rFonts w:ascii="Arial" w:eastAsia="Arial" w:hAnsi="Arial" w:cs="Arial"/>
          <w:sz w:val="20"/>
          <w:szCs w:val="20"/>
        </w:rPr>
      </w:pPr>
      <w:proofErr w:type="gramStart"/>
      <w:r>
        <w:rPr>
          <w:rFonts w:ascii="Arial" w:hAnsi="Arial"/>
          <w:sz w:val="20"/>
          <w:szCs w:val="20"/>
          <w:u w:val="single"/>
        </w:rPr>
        <w:t>Deacon</w:t>
      </w:r>
      <w:r w:rsidR="000B6454">
        <w:rPr>
          <w:rFonts w:ascii="Arial" w:hAnsi="Arial"/>
          <w:sz w:val="20"/>
          <w:szCs w:val="20"/>
          <w:u w:val="single"/>
        </w:rPr>
        <w:t xml:space="preserve">, T.; </w:t>
      </w:r>
      <w:proofErr w:type="spellStart"/>
      <w:r>
        <w:rPr>
          <w:rFonts w:ascii="Arial" w:hAnsi="Arial"/>
          <w:sz w:val="20"/>
          <w:szCs w:val="20"/>
        </w:rPr>
        <w:t>Niederhut</w:t>
      </w:r>
      <w:proofErr w:type="spellEnd"/>
      <w:r w:rsidR="000B6454">
        <w:rPr>
          <w:rFonts w:ascii="Arial" w:hAnsi="Arial"/>
          <w:sz w:val="20"/>
          <w:szCs w:val="20"/>
        </w:rPr>
        <w:t>, D.</w:t>
      </w:r>
      <w:r>
        <w:rPr>
          <w:rFonts w:ascii="Arial" w:hAnsi="Arial"/>
          <w:sz w:val="20"/>
          <w:szCs w:val="20"/>
        </w:rPr>
        <w:t xml:space="preserve"> (UCB, Anthropology); </w:t>
      </w:r>
      <w:proofErr w:type="spellStart"/>
      <w:r w:rsidR="000B6454">
        <w:rPr>
          <w:rFonts w:ascii="Arial" w:hAnsi="Arial"/>
          <w:sz w:val="20"/>
          <w:szCs w:val="20"/>
        </w:rPr>
        <w:t>Mareci</w:t>
      </w:r>
      <w:proofErr w:type="spellEnd"/>
      <w:r w:rsidR="000B6454">
        <w:rPr>
          <w:rFonts w:ascii="Arial" w:hAnsi="Arial"/>
          <w:sz w:val="20"/>
          <w:szCs w:val="20"/>
        </w:rPr>
        <w:t xml:space="preserve">, T. </w:t>
      </w:r>
      <w:r>
        <w:rPr>
          <w:rFonts w:ascii="Arial" w:hAnsi="Arial"/>
          <w:sz w:val="20"/>
          <w:szCs w:val="20"/>
        </w:rPr>
        <w:t xml:space="preserve">(UFL, Biochemistry and Molecular Biology); </w:t>
      </w:r>
      <w:r w:rsidR="000B6454">
        <w:rPr>
          <w:rFonts w:ascii="Arial" w:hAnsi="Arial"/>
          <w:sz w:val="20"/>
          <w:szCs w:val="20"/>
        </w:rPr>
        <w:t>Zeng, H.</w:t>
      </w:r>
      <w:proofErr w:type="gramEnd"/>
      <w:r w:rsidR="000B6454">
        <w:rPr>
          <w:rFonts w:ascii="Arial" w:hAnsi="Arial"/>
          <w:sz w:val="20"/>
          <w:szCs w:val="20"/>
        </w:rPr>
        <w:t xml:space="preserve">  and</w:t>
      </w:r>
      <w:r>
        <w:rPr>
          <w:rFonts w:ascii="Arial" w:hAnsi="Arial"/>
          <w:sz w:val="20"/>
          <w:szCs w:val="20"/>
        </w:rPr>
        <w:t xml:space="preserve"> Perez</w:t>
      </w:r>
      <w:r w:rsidR="000B6454">
        <w:rPr>
          <w:rFonts w:ascii="Arial" w:hAnsi="Arial"/>
          <w:sz w:val="20"/>
          <w:szCs w:val="20"/>
        </w:rPr>
        <w:t>, L.</w:t>
      </w:r>
      <w:bookmarkStart w:id="0" w:name="_GoBack"/>
      <w:bookmarkEnd w:id="0"/>
      <w:r>
        <w:rPr>
          <w:rFonts w:ascii="Arial" w:hAnsi="Arial"/>
          <w:sz w:val="20"/>
          <w:szCs w:val="20"/>
        </w:rPr>
        <w:t xml:space="preserve"> (UFL, MBI)</w:t>
      </w:r>
    </w:p>
    <w:p w:rsidR="00ED7668" w:rsidRDefault="00ED7668">
      <w:pPr>
        <w:pBdr>
          <w:bottom w:val="single" w:sz="12" w:space="0" w:color="000000"/>
        </w:pBdr>
        <w:tabs>
          <w:tab w:val="left" w:pos="360"/>
        </w:tabs>
        <w:rPr>
          <w:rFonts w:ascii="Arial" w:eastAsia="Arial" w:hAnsi="Arial" w:cs="Arial"/>
          <w:sz w:val="20"/>
          <w:szCs w:val="20"/>
        </w:rPr>
      </w:pPr>
    </w:p>
    <w:p w:rsidR="00ED7668" w:rsidRDefault="00ED7668">
      <w:pPr>
        <w:tabs>
          <w:tab w:val="left" w:pos="360"/>
        </w:tabs>
        <w:rPr>
          <w:rFonts w:ascii="Arial" w:eastAsia="Arial" w:hAnsi="Arial" w:cs="Arial"/>
          <w:sz w:val="20"/>
          <w:szCs w:val="20"/>
        </w:rPr>
      </w:pPr>
    </w:p>
    <w:p w:rsidR="00ED7668" w:rsidRDefault="000F4F56">
      <w:pPr>
        <w:tabs>
          <w:tab w:val="left" w:pos="360"/>
        </w:tabs>
        <w:rPr>
          <w:rFonts w:ascii="Arial" w:eastAsia="Arial" w:hAnsi="Arial" w:cs="Arial"/>
          <w:b/>
          <w:bCs/>
          <w:sz w:val="20"/>
          <w:szCs w:val="20"/>
        </w:rPr>
      </w:pPr>
      <w:r>
        <w:rPr>
          <w:rFonts w:ascii="Arial" w:hAnsi="Arial"/>
          <w:b/>
          <w:bCs/>
          <w:sz w:val="20"/>
          <w:szCs w:val="20"/>
        </w:rPr>
        <w:t>Introduction</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A key </w:t>
      </w:r>
      <w:r>
        <w:rPr>
          <w:rFonts w:ascii="Arial" w:hAnsi="Arial"/>
          <w:sz w:val="20"/>
          <w:szCs w:val="20"/>
        </w:rPr>
        <w:t>feature of human behavior is spoken language, but the neural structures that permit humans to learn vocal culture while other apes cannot have yet to be described. A popular hypothesis is that humans have evolved a direct corticobulbar connection originati</w:t>
      </w:r>
      <w:r>
        <w:rPr>
          <w:rFonts w:ascii="Arial" w:hAnsi="Arial"/>
          <w:sz w:val="20"/>
          <w:szCs w:val="20"/>
        </w:rPr>
        <w:t xml:space="preserve">ng from the frontal lobes and ending in the nucleus </w:t>
      </w:r>
      <w:proofErr w:type="spellStart"/>
      <w:r>
        <w:rPr>
          <w:rFonts w:ascii="Arial" w:hAnsi="Arial"/>
          <w:sz w:val="20"/>
          <w:szCs w:val="20"/>
        </w:rPr>
        <w:t>ambiguus</w:t>
      </w:r>
      <w:proofErr w:type="spellEnd"/>
      <w:r>
        <w:rPr>
          <w:rFonts w:ascii="Arial" w:hAnsi="Arial"/>
          <w:sz w:val="20"/>
          <w:szCs w:val="20"/>
        </w:rPr>
        <w:t xml:space="preserve">, the hindbrain motor nucleus that controls the </w:t>
      </w:r>
      <w:proofErr w:type="spellStart"/>
      <w:r>
        <w:rPr>
          <w:rFonts w:ascii="Arial" w:hAnsi="Arial"/>
          <w:sz w:val="20"/>
          <w:szCs w:val="20"/>
        </w:rPr>
        <w:t>intralaryngeal</w:t>
      </w:r>
      <w:proofErr w:type="spellEnd"/>
      <w:r>
        <w:rPr>
          <w:rFonts w:ascii="Arial" w:hAnsi="Arial"/>
          <w:sz w:val="20"/>
          <w:szCs w:val="20"/>
        </w:rPr>
        <w:t xml:space="preserve"> muscles (</w:t>
      </w:r>
      <w:proofErr w:type="spellStart"/>
      <w:r>
        <w:rPr>
          <w:rFonts w:ascii="Arial" w:hAnsi="Arial"/>
          <w:sz w:val="20"/>
          <w:szCs w:val="20"/>
        </w:rPr>
        <w:t>J</w:t>
      </w:r>
      <w:r>
        <w:rPr>
          <w:rFonts w:ascii="Arial" w:hAnsi="Arial"/>
          <w:sz w:val="20"/>
          <w:szCs w:val="20"/>
        </w:rPr>
        <w:t>ü</w:t>
      </w:r>
      <w:r>
        <w:rPr>
          <w:rFonts w:ascii="Arial" w:hAnsi="Arial"/>
          <w:sz w:val="20"/>
          <w:szCs w:val="20"/>
        </w:rPr>
        <w:t>rgens</w:t>
      </w:r>
      <w:proofErr w:type="spellEnd"/>
      <w:r>
        <w:rPr>
          <w:rFonts w:ascii="Arial" w:hAnsi="Arial"/>
          <w:sz w:val="20"/>
          <w:szCs w:val="20"/>
        </w:rPr>
        <w:t xml:space="preserve">, 2002). It is further hypothesized that this direct connection allows for more fine control of this structure, in a </w:t>
      </w:r>
      <w:r>
        <w:rPr>
          <w:rFonts w:ascii="Arial" w:hAnsi="Arial"/>
          <w:sz w:val="20"/>
          <w:szCs w:val="20"/>
        </w:rPr>
        <w:t xml:space="preserve">manner analogous to the way direct frontal innervation of spinal motor nuclei allows for fine motor control of the hands in apes. While there is not conclusive evidence that this </w:t>
      </w:r>
      <w:proofErr w:type="spellStart"/>
      <w:r>
        <w:rPr>
          <w:rFonts w:ascii="Arial" w:hAnsi="Arial"/>
          <w:sz w:val="20"/>
          <w:szCs w:val="20"/>
        </w:rPr>
        <w:t>ambiguo</w:t>
      </w:r>
      <w:proofErr w:type="spellEnd"/>
      <w:r>
        <w:rPr>
          <w:rFonts w:ascii="Arial" w:hAnsi="Arial"/>
          <w:sz w:val="20"/>
          <w:szCs w:val="20"/>
        </w:rPr>
        <w:t xml:space="preserve">-frontal tract exists, </w:t>
      </w:r>
      <w:proofErr w:type="gramStart"/>
      <w:r>
        <w:rPr>
          <w:rFonts w:ascii="Arial" w:hAnsi="Arial"/>
          <w:sz w:val="20"/>
          <w:szCs w:val="20"/>
        </w:rPr>
        <w:t>it</w:t>
      </w:r>
      <w:r>
        <w:rPr>
          <w:rFonts w:ascii="Arial" w:hAnsi="Arial"/>
          <w:sz w:val="20"/>
          <w:szCs w:val="20"/>
        </w:rPr>
        <w:t>’</w:t>
      </w:r>
      <w:r>
        <w:rPr>
          <w:rFonts w:ascii="Arial" w:hAnsi="Arial"/>
          <w:sz w:val="20"/>
          <w:szCs w:val="20"/>
        </w:rPr>
        <w:t>s</w:t>
      </w:r>
      <w:proofErr w:type="gramEnd"/>
      <w:r>
        <w:rPr>
          <w:rFonts w:ascii="Arial" w:hAnsi="Arial"/>
          <w:sz w:val="20"/>
          <w:szCs w:val="20"/>
        </w:rPr>
        <w:t xml:space="preserve"> potential existence has been reported in t</w:t>
      </w:r>
      <w:r>
        <w:rPr>
          <w:rFonts w:ascii="Arial" w:hAnsi="Arial"/>
          <w:sz w:val="20"/>
          <w:szCs w:val="20"/>
        </w:rPr>
        <w:t xml:space="preserve">he literature for so long that it is now often cited as a conclusion, and not as a possibility. We propose to use high-field, diffusion weighted MRI to establish the existence, or nonexistence, of this hypothesized connection. </w:t>
      </w:r>
    </w:p>
    <w:p w:rsidR="00ED7668" w:rsidRDefault="00ED7668">
      <w:pPr>
        <w:tabs>
          <w:tab w:val="left" w:pos="360"/>
        </w:tabs>
        <w:rPr>
          <w:rFonts w:ascii="Arial" w:eastAsia="Arial" w:hAnsi="Arial" w:cs="Arial"/>
          <w:b/>
          <w:bCs/>
          <w:sz w:val="20"/>
          <w:szCs w:val="20"/>
        </w:rPr>
      </w:pPr>
    </w:p>
    <w:p w:rsidR="00ED7668" w:rsidRDefault="000F4F56">
      <w:pPr>
        <w:tabs>
          <w:tab w:val="left" w:pos="360"/>
        </w:tabs>
        <w:rPr>
          <w:rFonts w:ascii="Arial" w:eastAsia="Arial" w:hAnsi="Arial" w:cs="Arial"/>
          <w:b/>
          <w:bCs/>
          <w:sz w:val="20"/>
          <w:szCs w:val="20"/>
        </w:rPr>
      </w:pPr>
      <w:r>
        <w:rPr>
          <w:rFonts w:ascii="Arial" w:hAnsi="Arial"/>
          <w:b/>
          <w:bCs/>
          <w:sz w:val="20"/>
          <w:szCs w:val="20"/>
        </w:rPr>
        <w:t>Experimental</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r>
      <w:r>
        <w:rPr>
          <w:rFonts w:ascii="Arial" w:hAnsi="Arial"/>
          <w:sz w:val="20"/>
          <w:szCs w:val="20"/>
        </w:rPr>
        <w:t>The test samp</w:t>
      </w:r>
      <w:r>
        <w:rPr>
          <w:rFonts w:ascii="Arial" w:hAnsi="Arial"/>
          <w:sz w:val="20"/>
          <w:szCs w:val="20"/>
        </w:rPr>
        <w:t xml:space="preserve">le was </w:t>
      </w:r>
      <w:proofErr w:type="gramStart"/>
      <w:r>
        <w:rPr>
          <w:rFonts w:ascii="Arial" w:hAnsi="Arial"/>
          <w:sz w:val="20"/>
          <w:szCs w:val="20"/>
        </w:rPr>
        <w:t>an</w:t>
      </w:r>
      <w:proofErr w:type="gramEnd"/>
      <w:r>
        <w:rPr>
          <w:rFonts w:ascii="Arial" w:hAnsi="Arial"/>
          <w:sz w:val="20"/>
          <w:szCs w:val="20"/>
        </w:rPr>
        <w:t xml:space="preserve"> human hindbrain from an 89 year old male who passed in 2004, with no history of language-related complications or other neurological </w:t>
      </w:r>
      <w:proofErr w:type="spellStart"/>
      <w:r>
        <w:rPr>
          <w:rFonts w:ascii="Arial" w:hAnsi="Arial"/>
          <w:sz w:val="20"/>
          <w:szCs w:val="20"/>
        </w:rPr>
        <w:t>contraindications.The</w:t>
      </w:r>
      <w:proofErr w:type="spellEnd"/>
      <w:r>
        <w:rPr>
          <w:rFonts w:ascii="Arial" w:hAnsi="Arial"/>
          <w:sz w:val="20"/>
          <w:szCs w:val="20"/>
        </w:rPr>
        <w:t xml:space="preserve"> whole brain was preserved in formalin until the time of this research project. The hindbrai</w:t>
      </w:r>
      <w:r>
        <w:rPr>
          <w:rFonts w:ascii="Arial" w:hAnsi="Arial"/>
          <w:sz w:val="20"/>
          <w:szCs w:val="20"/>
        </w:rPr>
        <w:t xml:space="preserve">n was excised by cutting at the caudal medulla and rostral midbrain, with the cerebellum removed at the brachium </w:t>
      </w:r>
      <w:proofErr w:type="spellStart"/>
      <w:r>
        <w:rPr>
          <w:rFonts w:ascii="Arial" w:hAnsi="Arial"/>
          <w:sz w:val="20"/>
          <w:szCs w:val="20"/>
        </w:rPr>
        <w:t>pontis</w:t>
      </w:r>
      <w:proofErr w:type="spellEnd"/>
      <w:r>
        <w:rPr>
          <w:rFonts w:ascii="Arial" w:hAnsi="Arial"/>
          <w:sz w:val="20"/>
          <w:szCs w:val="20"/>
        </w:rPr>
        <w:t xml:space="preserve"> as close as possible to the main axis of the brain stem. The hindbrain was soaked in neutral buffered formalin for 7 days before it was </w:t>
      </w:r>
      <w:r>
        <w:rPr>
          <w:rFonts w:ascii="Arial" w:hAnsi="Arial"/>
          <w:sz w:val="20"/>
          <w:szCs w:val="20"/>
        </w:rPr>
        <w:t xml:space="preserve">to be scanned, with the solution replaced three times at an interval of 2 days. After shipment and prior to scanning, the hindbrain was placed in </w:t>
      </w:r>
      <w:proofErr w:type="spellStart"/>
      <w:r>
        <w:rPr>
          <w:rFonts w:ascii="Arial" w:hAnsi="Arial"/>
          <w:sz w:val="20"/>
          <w:szCs w:val="20"/>
        </w:rPr>
        <w:t>fluorinert</w:t>
      </w:r>
      <w:proofErr w:type="spellEnd"/>
      <w:r>
        <w:rPr>
          <w:rFonts w:ascii="Arial" w:hAnsi="Arial"/>
          <w:sz w:val="20"/>
          <w:szCs w:val="20"/>
        </w:rPr>
        <w:t xml:space="preserve"> and any excess water pipetted off.</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In February 2015, the brain stem was scanned in a 17.6T Bruker </w:t>
      </w:r>
      <w:proofErr w:type="spellStart"/>
      <w:r>
        <w:rPr>
          <w:rFonts w:ascii="Arial" w:hAnsi="Arial"/>
          <w:sz w:val="20"/>
          <w:szCs w:val="20"/>
        </w:rPr>
        <w:t>Avance</w:t>
      </w:r>
      <w:proofErr w:type="spellEnd"/>
      <w:r>
        <w:rPr>
          <w:rFonts w:ascii="Arial" w:hAnsi="Arial"/>
          <w:sz w:val="20"/>
          <w:szCs w:val="20"/>
        </w:rPr>
        <w:t xml:space="preserve"> III spectrometer, with a micro 2.5 gradient set and a custom-built receive coil. When submitted to a 2D diffusion weighted sequence at a </w:t>
      </w:r>
      <w:proofErr w:type="spellStart"/>
      <w:r>
        <w:rPr>
          <w:rFonts w:ascii="Arial" w:hAnsi="Arial"/>
          <w:sz w:val="20"/>
          <w:szCs w:val="20"/>
        </w:rPr>
        <w:t>Gmax</w:t>
      </w:r>
      <w:proofErr w:type="spellEnd"/>
      <w:r>
        <w:rPr>
          <w:rFonts w:ascii="Arial" w:hAnsi="Arial"/>
          <w:sz w:val="20"/>
          <w:szCs w:val="20"/>
        </w:rPr>
        <w:t xml:space="preserve"> of 1500 </w:t>
      </w:r>
      <w:proofErr w:type="spellStart"/>
      <w:r>
        <w:rPr>
          <w:rFonts w:ascii="Arial" w:hAnsi="Arial"/>
          <w:sz w:val="20"/>
          <w:szCs w:val="20"/>
        </w:rPr>
        <w:t>mT</w:t>
      </w:r>
      <w:proofErr w:type="spellEnd"/>
      <w:r>
        <w:rPr>
          <w:rFonts w:ascii="Arial" w:hAnsi="Arial"/>
          <w:sz w:val="20"/>
          <w:szCs w:val="20"/>
        </w:rPr>
        <w:t>/m, the system failed silently and continued to appear to be running but was no longer applying a</w:t>
      </w:r>
      <w:r>
        <w:rPr>
          <w:rFonts w:ascii="Arial" w:hAnsi="Arial"/>
          <w:sz w:val="20"/>
          <w:szCs w:val="20"/>
        </w:rPr>
        <w:t>ny of the necessary gradient changes. By the time the error was discovered, it was too late to run the brainstem in the magnet again, keeping in mind that flight arrangements had already been made and the brainstem was only allowed to stay in Florida as lo</w:t>
      </w:r>
      <w:r>
        <w:rPr>
          <w:rFonts w:ascii="Arial" w:hAnsi="Arial"/>
          <w:sz w:val="20"/>
          <w:szCs w:val="20"/>
        </w:rPr>
        <w:t>ng as a Berkeley researcher was there to supervise.</w:t>
      </w:r>
    </w:p>
    <w:p w:rsidR="00ED7668" w:rsidRDefault="00ED7668">
      <w:pPr>
        <w:tabs>
          <w:tab w:val="left" w:pos="360"/>
        </w:tabs>
        <w:rPr>
          <w:rFonts w:ascii="Arial" w:eastAsia="Arial" w:hAnsi="Arial" w:cs="Arial"/>
          <w:sz w:val="20"/>
          <w:szCs w:val="20"/>
        </w:rPr>
      </w:pPr>
    </w:p>
    <w:p w:rsidR="00ED7668" w:rsidRDefault="000F4F56">
      <w:pPr>
        <w:tabs>
          <w:tab w:val="left" w:pos="360"/>
        </w:tabs>
        <w:rPr>
          <w:rFonts w:ascii="Arial" w:eastAsia="Arial" w:hAnsi="Arial" w:cs="Arial"/>
          <w:b/>
          <w:bCs/>
          <w:sz w:val="20"/>
          <w:szCs w:val="20"/>
        </w:rPr>
      </w:pPr>
      <w:r>
        <w:rPr>
          <w:rFonts w:ascii="Arial" w:hAnsi="Arial"/>
          <w:b/>
          <w:bCs/>
          <w:sz w:val="20"/>
          <w:szCs w:val="20"/>
        </w:rPr>
        <w:t>Results and Discussion</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t xml:space="preserve">Subsequent investigation showed that the Z gradient, which was in the slice encoding direction, had overheated (due to surpassing of the duty cycle limitations due the demands by </w:t>
      </w:r>
      <w:r>
        <w:rPr>
          <w:rFonts w:ascii="Arial" w:eastAsia="Arial" w:hAnsi="Arial" w:cs="Arial"/>
          <w:sz w:val="20"/>
          <w:szCs w:val="20"/>
        </w:rPr>
        <w:t>the high resolution DWI) shortly into the first day of scanning. This caused a safety shutdown of the entire gradient set at the magnet, which for an unknown reason was not relayed to the Bruker controller driving the scanner. In the months since this even</w:t>
      </w:r>
      <w:r>
        <w:rPr>
          <w:rFonts w:ascii="Arial" w:eastAsia="Arial" w:hAnsi="Arial" w:cs="Arial"/>
          <w:sz w:val="20"/>
          <w:szCs w:val="20"/>
        </w:rPr>
        <w:t>t, Dr. Colon has reported that another sample has been successfully run with the similar parameters, but with the time between individual components of the scan lengthened to give the gradients time to cool between acquisitions hence reducing the duty cycl</w:t>
      </w:r>
      <w:r>
        <w:rPr>
          <w:rFonts w:ascii="Arial" w:eastAsia="Arial" w:hAnsi="Arial" w:cs="Arial"/>
          <w:sz w:val="20"/>
          <w:szCs w:val="20"/>
        </w:rPr>
        <w:t>e to reasonable levels for the micro 2.5 gradient set.</w:t>
      </w:r>
    </w:p>
    <w:p w:rsidR="00ED7668" w:rsidRDefault="00ED7668">
      <w:pPr>
        <w:tabs>
          <w:tab w:val="left" w:pos="360"/>
        </w:tabs>
        <w:rPr>
          <w:rFonts w:ascii="Arial" w:eastAsia="Arial" w:hAnsi="Arial" w:cs="Arial"/>
          <w:sz w:val="20"/>
          <w:szCs w:val="20"/>
        </w:rPr>
      </w:pPr>
    </w:p>
    <w:p w:rsidR="00ED7668" w:rsidRDefault="000F4F56">
      <w:pPr>
        <w:tabs>
          <w:tab w:val="left" w:pos="360"/>
        </w:tabs>
        <w:rPr>
          <w:rFonts w:ascii="Arial" w:eastAsia="Arial" w:hAnsi="Arial" w:cs="Arial"/>
          <w:sz w:val="20"/>
          <w:szCs w:val="20"/>
        </w:rPr>
      </w:pPr>
      <w:r>
        <w:rPr>
          <w:rFonts w:ascii="Arial" w:hAnsi="Arial"/>
          <w:b/>
          <w:bCs/>
          <w:sz w:val="20"/>
          <w:szCs w:val="20"/>
        </w:rPr>
        <w:t>Conclusions</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t xml:space="preserve">We are confident that future work on this scanner will yield data of sufficient resolution and quality to successfully evaluate hypotheses about hindbrain </w:t>
      </w:r>
      <w:proofErr w:type="spellStart"/>
      <w:r>
        <w:rPr>
          <w:rFonts w:ascii="Arial" w:eastAsia="Arial" w:hAnsi="Arial" w:cs="Arial"/>
          <w:sz w:val="20"/>
          <w:szCs w:val="20"/>
        </w:rPr>
        <w:t>phonatory</w:t>
      </w:r>
      <w:proofErr w:type="spellEnd"/>
      <w:r>
        <w:rPr>
          <w:rFonts w:ascii="Arial" w:eastAsia="Arial" w:hAnsi="Arial" w:cs="Arial"/>
          <w:sz w:val="20"/>
          <w:szCs w:val="20"/>
        </w:rPr>
        <w:t xml:space="preserve"> motor neuron connectiv</w:t>
      </w:r>
      <w:r>
        <w:rPr>
          <w:rFonts w:ascii="Arial" w:eastAsia="Arial" w:hAnsi="Arial" w:cs="Arial"/>
          <w:sz w:val="20"/>
          <w:szCs w:val="20"/>
        </w:rPr>
        <w:t>ity in humans and nonhuman apes.</w:t>
      </w:r>
    </w:p>
    <w:p w:rsidR="00ED7668" w:rsidRDefault="00ED7668">
      <w:pPr>
        <w:tabs>
          <w:tab w:val="left" w:pos="360"/>
        </w:tabs>
        <w:rPr>
          <w:rFonts w:ascii="Arial" w:eastAsia="Arial" w:hAnsi="Arial" w:cs="Arial"/>
          <w:sz w:val="20"/>
          <w:szCs w:val="20"/>
        </w:rPr>
      </w:pPr>
    </w:p>
    <w:p w:rsidR="00ED7668" w:rsidRDefault="000F4F56">
      <w:pPr>
        <w:tabs>
          <w:tab w:val="left" w:pos="360"/>
        </w:tabs>
        <w:rPr>
          <w:rFonts w:ascii="Arial" w:eastAsia="Arial" w:hAnsi="Arial" w:cs="Arial"/>
          <w:b/>
          <w:bCs/>
          <w:sz w:val="20"/>
          <w:szCs w:val="20"/>
        </w:rPr>
      </w:pPr>
      <w:r>
        <w:rPr>
          <w:rFonts w:ascii="Arial" w:hAnsi="Arial"/>
          <w:b/>
          <w:bCs/>
          <w:sz w:val="20"/>
          <w:szCs w:val="20"/>
        </w:rPr>
        <w:t>Acknowledgements</w:t>
      </w:r>
    </w:p>
    <w:p w:rsidR="00ED7668" w:rsidRDefault="000F4F56">
      <w:pPr>
        <w:tabs>
          <w:tab w:val="left" w:pos="360"/>
        </w:tabs>
        <w:rPr>
          <w:rFonts w:ascii="Arial" w:eastAsia="Arial" w:hAnsi="Arial" w:cs="Arial"/>
          <w:sz w:val="20"/>
          <w:szCs w:val="20"/>
        </w:rPr>
      </w:pPr>
      <w:r>
        <w:rPr>
          <w:rFonts w:ascii="Arial" w:eastAsia="Arial" w:hAnsi="Arial" w:cs="Arial"/>
          <w:sz w:val="20"/>
          <w:szCs w:val="20"/>
        </w:rPr>
        <w:tab/>
        <w:t xml:space="preserve">A portion of this work was performed at the National High Magnetic Field Laboratory, which is supported by National Science Foundation Cooperative Agreement No. </w:t>
      </w:r>
      <w:proofErr w:type="gramStart"/>
      <w:r>
        <w:rPr>
          <w:rFonts w:ascii="Arial" w:eastAsia="Arial" w:hAnsi="Arial" w:cs="Arial"/>
          <w:sz w:val="20"/>
          <w:szCs w:val="20"/>
        </w:rPr>
        <w:t xml:space="preserve">DMR-1157490, the State of Florida, and the </w:t>
      </w:r>
      <w:r>
        <w:rPr>
          <w:rFonts w:ascii="Arial" w:eastAsia="Arial" w:hAnsi="Arial" w:cs="Arial"/>
          <w:sz w:val="20"/>
          <w:szCs w:val="20"/>
        </w:rPr>
        <w:t>U.S. Department of Energy.</w:t>
      </w:r>
      <w:proofErr w:type="gramEnd"/>
      <w:r>
        <w:rPr>
          <w:rFonts w:ascii="Arial" w:eastAsia="Arial" w:hAnsi="Arial" w:cs="Arial"/>
          <w:sz w:val="20"/>
          <w:szCs w:val="20"/>
        </w:rPr>
        <w:t xml:space="preserve"> </w:t>
      </w:r>
      <w:r>
        <w:rPr>
          <w:rFonts w:ascii="Arial" w:hAnsi="Arial"/>
          <w:sz w:val="20"/>
          <w:szCs w:val="20"/>
        </w:rPr>
        <w:t xml:space="preserve"> In addition, this work is supported by a grant from the Leakey Foundation. Human tissues were provided by the Willed Body Program at the University of California, San Francisco Medical Center.</w:t>
      </w:r>
    </w:p>
    <w:p w:rsidR="00ED7668" w:rsidRDefault="00ED7668">
      <w:pPr>
        <w:tabs>
          <w:tab w:val="left" w:pos="360"/>
        </w:tabs>
      </w:pPr>
    </w:p>
    <w:p w:rsidR="00ED7668" w:rsidRDefault="000F4F56">
      <w:pPr>
        <w:tabs>
          <w:tab w:val="left" w:pos="360"/>
        </w:tabs>
        <w:rPr>
          <w:rFonts w:ascii="Arial" w:eastAsia="Arial" w:hAnsi="Arial" w:cs="Arial"/>
          <w:b/>
          <w:bCs/>
          <w:sz w:val="20"/>
          <w:szCs w:val="20"/>
        </w:rPr>
      </w:pPr>
      <w:r>
        <w:rPr>
          <w:rFonts w:ascii="Arial" w:hAnsi="Arial"/>
          <w:b/>
          <w:bCs/>
          <w:sz w:val="20"/>
          <w:szCs w:val="20"/>
        </w:rPr>
        <w:t>References</w:t>
      </w:r>
    </w:p>
    <w:p w:rsidR="00ED7668" w:rsidRDefault="000F4F56">
      <w:pPr>
        <w:tabs>
          <w:tab w:val="left" w:pos="360"/>
        </w:tabs>
      </w:pPr>
      <w:proofErr w:type="spellStart"/>
      <w:r>
        <w:rPr>
          <w:rFonts w:ascii="Arial" w:hAnsi="Arial"/>
          <w:sz w:val="20"/>
          <w:szCs w:val="20"/>
        </w:rPr>
        <w:t>J</w:t>
      </w:r>
      <w:r>
        <w:rPr>
          <w:rFonts w:ascii="Arial" w:hAnsi="Arial"/>
          <w:sz w:val="20"/>
          <w:szCs w:val="20"/>
        </w:rPr>
        <w:t>ü</w:t>
      </w:r>
      <w:r>
        <w:rPr>
          <w:rFonts w:ascii="Arial" w:hAnsi="Arial"/>
          <w:sz w:val="20"/>
          <w:szCs w:val="20"/>
        </w:rPr>
        <w:t>rgens</w:t>
      </w:r>
      <w:proofErr w:type="spellEnd"/>
      <w:r>
        <w:rPr>
          <w:rFonts w:ascii="Arial" w:hAnsi="Arial"/>
          <w:sz w:val="20"/>
          <w:szCs w:val="20"/>
        </w:rPr>
        <w:t xml:space="preserve">, U. (2002). </w:t>
      </w:r>
      <w:proofErr w:type="spellStart"/>
      <w:r>
        <w:rPr>
          <w:rFonts w:ascii="Arial" w:hAnsi="Arial"/>
          <w:i/>
          <w:iCs/>
          <w:sz w:val="20"/>
          <w:szCs w:val="20"/>
        </w:rPr>
        <w:t>Neurosci</w:t>
      </w:r>
      <w:proofErr w:type="spellEnd"/>
      <w:r>
        <w:rPr>
          <w:rFonts w:ascii="Arial" w:hAnsi="Arial"/>
          <w:i/>
          <w:iCs/>
          <w:sz w:val="20"/>
          <w:szCs w:val="20"/>
        </w:rPr>
        <w:t xml:space="preserve"> </w:t>
      </w:r>
      <w:proofErr w:type="spellStart"/>
      <w:r>
        <w:rPr>
          <w:rFonts w:ascii="Arial" w:hAnsi="Arial"/>
          <w:i/>
          <w:iCs/>
          <w:sz w:val="20"/>
          <w:szCs w:val="20"/>
        </w:rPr>
        <w:t>Biobehav</w:t>
      </w:r>
      <w:proofErr w:type="spellEnd"/>
      <w:r>
        <w:rPr>
          <w:rFonts w:ascii="Arial" w:hAnsi="Arial"/>
          <w:i/>
          <w:iCs/>
          <w:sz w:val="20"/>
          <w:szCs w:val="20"/>
        </w:rPr>
        <w:t xml:space="preserve"> Rev 26</w:t>
      </w:r>
      <w:r>
        <w:rPr>
          <w:rFonts w:ascii="Arial" w:hAnsi="Arial"/>
          <w:sz w:val="20"/>
          <w:szCs w:val="20"/>
        </w:rPr>
        <w:t>, 235-258.</w:t>
      </w:r>
    </w:p>
    <w:sectPr w:rsidR="00ED7668">
      <w:headerReference w:type="default" r:id="rId7"/>
      <w:footerReference w:type="default" r:id="rId8"/>
      <w:pgSz w:w="12240" w:h="15840"/>
      <w:pgMar w:top="1155" w:right="1080" w:bottom="1080" w:left="108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56" w:rsidRDefault="000F4F56">
      <w:r>
        <w:separator/>
      </w:r>
    </w:p>
  </w:endnote>
  <w:endnote w:type="continuationSeparator" w:id="0">
    <w:p w:rsidR="000F4F56" w:rsidRDefault="000F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8" w:rsidRDefault="00ED76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56" w:rsidRDefault="000F4F56">
      <w:r>
        <w:separator/>
      </w:r>
    </w:p>
  </w:footnote>
  <w:footnote w:type="continuationSeparator" w:id="0">
    <w:p w:rsidR="000F4F56" w:rsidRDefault="000F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8" w:rsidRDefault="000F4F56">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1885950</wp:posOffset>
              </wp:positionH>
              <wp:positionV relativeFrom="page">
                <wp:posOffset>180340</wp:posOffset>
              </wp:positionV>
              <wp:extent cx="3876675" cy="4292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876675" cy="429260"/>
                      </a:xfrm>
                      <a:prstGeom prst="rect">
                        <a:avLst/>
                      </a:prstGeom>
                      <a:solidFill>
                        <a:srgbClr val="FFFFFF"/>
                      </a:solidFill>
                      <a:ln w="12700" cap="flat">
                        <a:noFill/>
                        <a:miter lim="400000"/>
                      </a:ln>
                      <a:effectLst/>
                    </wps:spPr>
                    <wps:txbx>
                      <w:txbxContent>
                        <w:p w:rsidR="00ED7668" w:rsidRDefault="000F4F56">
                          <w:pPr>
                            <w:jc w:val="center"/>
                            <w:rPr>
                              <w:rFonts w:ascii="Arial" w:eastAsia="Arial" w:hAnsi="Arial" w:cs="Arial"/>
                              <w:b/>
                              <w:bCs/>
                              <w:color w:val="17365D"/>
                              <w:sz w:val="22"/>
                              <w:szCs w:val="22"/>
                              <w:u w:color="17365D"/>
                            </w:rPr>
                          </w:pPr>
                          <w:r>
                            <w:rPr>
                              <w:rFonts w:ascii="Arial" w:hAnsi="Arial"/>
                              <w:b/>
                              <w:bCs/>
                              <w:color w:val="17365D"/>
                              <w:sz w:val="22"/>
                              <w:szCs w:val="22"/>
                              <w:u w:color="17365D"/>
                            </w:rPr>
                            <w:t>NATIONAL HIGH MAGNETIC FIELD LABORATORY</w:t>
                          </w:r>
                        </w:p>
                        <w:p w:rsidR="00ED7668" w:rsidRDefault="000F4F56">
                          <w:pPr>
                            <w:jc w:val="center"/>
                          </w:pPr>
                          <w:r>
                            <w:rPr>
                              <w:rFonts w:ascii="Arial" w:hAnsi="Arial"/>
                              <w:b/>
                              <w:bCs/>
                              <w:color w:val="17365D"/>
                              <w:sz w:val="22"/>
                              <w:szCs w:val="22"/>
                              <w:u w:color="17365D"/>
                            </w:rPr>
                            <w:t>2015 ANNUAL RESEARCH REPORT</w:t>
                          </w:r>
                        </w:p>
                      </w:txbxContent>
                    </wps:txbx>
                    <wps:bodyPr wrap="square" lIns="45719" tIns="45719" rIns="45719" bIns="45719" numCol="1" anchor="t">
                      <a:noAutofit/>
                    </wps:bodyPr>
                  </wps:wsp>
                </a:graphicData>
              </a:graphic>
            </wp:anchor>
          </w:drawing>
        </mc:Choice>
        <mc:Fallback>
          <w:pict>
            <v:rect id="_x0000_s1026" style="visibility:visible;position:absolute;margin-left:148.5pt;margin-top:14.2pt;width:305.2pt;height:33.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w:cs="Arial" w:hAnsi="Arial" w:eastAsia="Arial"/>
                        <w:b w:val="1"/>
                        <w:bCs w:val="1"/>
                        <w:color w:val="17365d"/>
                        <w:sz w:val="22"/>
                        <w:szCs w:val="22"/>
                        <w:u w:color="17365d"/>
                      </w:rPr>
                    </w:pPr>
                    <w:r>
                      <w:rPr>
                        <w:rFonts w:ascii="Arial" w:hAnsi="Arial"/>
                        <w:b w:val="1"/>
                        <w:bCs w:val="1"/>
                        <w:color w:val="17365d"/>
                        <w:sz w:val="22"/>
                        <w:szCs w:val="22"/>
                        <w:u w:color="17365d"/>
                        <w:rtl w:val="0"/>
                        <w:lang w:val="en-US"/>
                      </w:rPr>
                      <w:t>NATIONAL HIGH MAGNETIC FIELD LABORATORY</w:t>
                    </w:r>
                  </w:p>
                  <w:p>
                    <w:pPr>
                      <w:pStyle w:val="Normal.0"/>
                      <w:jc w:val="center"/>
                    </w:pPr>
                    <w:r>
                      <w:rPr>
                        <w:rFonts w:ascii="Arial" w:hAnsi="Arial"/>
                        <w:b w:val="1"/>
                        <w:bCs w:val="1"/>
                        <w:color w:val="17365d"/>
                        <w:sz w:val="22"/>
                        <w:szCs w:val="22"/>
                        <w:u w:color="17365d"/>
                        <w:rtl w:val="0"/>
                        <w:lang w:val="en-US"/>
                      </w:rPr>
                      <w:t>2015 ANNUAL RESEARCH REPORT</w:t>
                    </w:r>
                  </w:p>
                </w:txbxContent>
              </v:textbox>
              <w10:wrap type="none" side="bothSides" anchorx="page" anchory="page"/>
            </v:rect>
          </w:pict>
        </mc:Fallback>
      </mc:AlternateContent>
    </w:r>
    <w:r>
      <w:rPr>
        <w:rFonts w:ascii="Arial" w:hAnsi="Arial"/>
        <w:b/>
        <w:bCs/>
        <w:smallCaps/>
        <w:noProof/>
        <w:color w:val="1F497D"/>
        <w:spacing w:val="5"/>
        <w:sz w:val="22"/>
        <w:szCs w:val="22"/>
        <w:u w:color="1F497D"/>
      </w:rPr>
      <w:drawing>
        <wp:inline distT="0" distB="0" distL="0" distR="0">
          <wp:extent cx="520469" cy="628635"/>
          <wp:effectExtent l="0" t="0" r="0" b="0"/>
          <wp:docPr id="1073741825" name="officeArt object" descr="JustM_purple.jpg"/>
          <wp:cNvGraphicFramePr/>
          <a:graphic xmlns:a="http://schemas.openxmlformats.org/drawingml/2006/main">
            <a:graphicData uri="http://schemas.openxmlformats.org/drawingml/2006/picture">
              <pic:pic xmlns:pic="http://schemas.openxmlformats.org/drawingml/2006/picture">
                <pic:nvPicPr>
                  <pic:cNvPr id="1073741825" name="JustM_purple.jpg" descr="JustM_purple.jpg"/>
                  <pic:cNvPicPr>
                    <a:picLocks noChangeAspect="1"/>
                  </pic:cNvPicPr>
                </pic:nvPicPr>
                <pic:blipFill>
                  <a:blip r:embed="rId1">
                    <a:extLst/>
                  </a:blip>
                  <a:stretch>
                    <a:fillRect/>
                  </a:stretch>
                </pic:blipFill>
                <pic:spPr>
                  <a:xfrm>
                    <a:off x="0" y="0"/>
                    <a:ext cx="520469" cy="62863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7668"/>
    <w:rsid w:val="000B6454"/>
    <w:rsid w:val="000F4F56"/>
    <w:rsid w:val="00C45876"/>
    <w:rsid w:val="00E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C45876"/>
    <w:rPr>
      <w:rFonts w:ascii="Tahoma" w:hAnsi="Tahoma" w:cs="Tahoma"/>
      <w:sz w:val="16"/>
      <w:szCs w:val="16"/>
    </w:rPr>
  </w:style>
  <w:style w:type="character" w:customStyle="1" w:styleId="BalloonTextChar">
    <w:name w:val="Balloon Text Char"/>
    <w:basedOn w:val="DefaultParagraphFont"/>
    <w:link w:val="BalloonText"/>
    <w:uiPriority w:val="99"/>
    <w:semiHidden/>
    <w:rsid w:val="00C45876"/>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C45876"/>
    <w:rPr>
      <w:rFonts w:ascii="Tahoma" w:hAnsi="Tahoma" w:cs="Tahoma"/>
      <w:sz w:val="16"/>
      <w:szCs w:val="16"/>
    </w:rPr>
  </w:style>
  <w:style w:type="character" w:customStyle="1" w:styleId="BalloonTextChar">
    <w:name w:val="Balloon Text Char"/>
    <w:basedOn w:val="DefaultParagraphFont"/>
    <w:link w:val="BalloonText"/>
    <w:uiPriority w:val="99"/>
    <w:semiHidden/>
    <w:rsid w:val="00C45876"/>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Toth</dc:creator>
  <cp:lastModifiedBy>Anke Toth</cp:lastModifiedBy>
  <cp:revision>3</cp:revision>
  <dcterms:created xsi:type="dcterms:W3CDTF">2016-02-10T19:35:00Z</dcterms:created>
  <dcterms:modified xsi:type="dcterms:W3CDTF">2016-02-10T19:36:00Z</dcterms:modified>
</cp:coreProperties>
</file>