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2470EE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Anatomy of the Goliath Grouper Skull</w:t>
      </w:r>
    </w:p>
    <w:p w:rsidR="004A228B" w:rsidRDefault="004A228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A228B" w:rsidRDefault="004A228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A228B">
        <w:rPr>
          <w:rFonts w:ascii="Arial" w:hAnsi="Arial" w:cs="Arial"/>
          <w:sz w:val="20"/>
          <w:szCs w:val="20"/>
          <w:u w:val="single"/>
        </w:rPr>
        <w:t>Chapman</w:t>
      </w:r>
      <w:r>
        <w:rPr>
          <w:rFonts w:ascii="Arial" w:hAnsi="Arial" w:cs="Arial"/>
          <w:sz w:val="20"/>
          <w:szCs w:val="20"/>
          <w:u w:val="single"/>
        </w:rPr>
        <w:t>, F.A.</w:t>
      </w:r>
      <w:r w:rsidRPr="004A228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U Fla, </w:t>
      </w:r>
      <w:r w:rsidRPr="004A228B">
        <w:rPr>
          <w:rFonts w:ascii="Arial" w:hAnsi="Arial" w:cs="Arial"/>
          <w:sz w:val="20"/>
          <w:szCs w:val="20"/>
        </w:rPr>
        <w:t>School of Forest Resources and Conservation-Fisheries and Aquatic Sciences)</w:t>
      </w:r>
      <w:r w:rsidR="00D008C0">
        <w:rPr>
          <w:rFonts w:ascii="Arial" w:hAnsi="Arial" w:cs="Arial"/>
          <w:sz w:val="20"/>
          <w:szCs w:val="20"/>
        </w:rPr>
        <w:t>;</w:t>
      </w:r>
      <w:r w:rsidRPr="004A228B">
        <w:rPr>
          <w:rFonts w:ascii="Arial" w:hAnsi="Arial" w:cs="Arial"/>
          <w:sz w:val="20"/>
          <w:szCs w:val="20"/>
        </w:rPr>
        <w:t xml:space="preserve"> </w:t>
      </w:r>
    </w:p>
    <w:p w:rsidR="004A228B" w:rsidRPr="006B3824" w:rsidRDefault="004A228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A228B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>, L.R.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Pr="004A22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UC San Diego, Radiology</w:t>
      </w:r>
      <w:r w:rsidRPr="004A228B">
        <w:rPr>
          <w:rFonts w:ascii="Arial" w:hAnsi="Arial" w:cs="Arial"/>
          <w:sz w:val="20"/>
          <w:szCs w:val="20"/>
        </w:rPr>
        <w:t xml:space="preserve">) </w:t>
      </w:r>
      <w:r w:rsidR="00F31367">
        <w:rPr>
          <w:rFonts w:ascii="Arial" w:hAnsi="Arial" w:cs="Arial"/>
          <w:sz w:val="20"/>
          <w:szCs w:val="20"/>
        </w:rPr>
        <w:t xml:space="preserve">and </w:t>
      </w:r>
      <w:r w:rsidRPr="004A228B">
        <w:rPr>
          <w:rFonts w:ascii="Arial" w:hAnsi="Arial" w:cs="Arial"/>
          <w:sz w:val="20"/>
          <w:szCs w:val="20"/>
        </w:rPr>
        <w:t>Plant</w:t>
      </w:r>
      <w:r w:rsidR="00D008C0">
        <w:rPr>
          <w:rFonts w:ascii="Arial" w:hAnsi="Arial" w:cs="Arial"/>
          <w:sz w:val="20"/>
          <w:szCs w:val="20"/>
        </w:rPr>
        <w:t>, H.</w:t>
      </w:r>
      <w:r w:rsidR="00F31367">
        <w:rPr>
          <w:rFonts w:ascii="Arial" w:hAnsi="Arial" w:cs="Arial"/>
          <w:sz w:val="20"/>
          <w:szCs w:val="20"/>
        </w:rPr>
        <w:t>D.</w:t>
      </w:r>
      <w:r w:rsidRPr="004A228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U Fla, </w:t>
      </w:r>
      <w:r w:rsidRPr="004A228B">
        <w:rPr>
          <w:rFonts w:ascii="Arial" w:hAnsi="Arial" w:cs="Arial"/>
          <w:sz w:val="20"/>
          <w:szCs w:val="20"/>
        </w:rPr>
        <w:t>McKnight Brain Institute)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F31367" w:rsidRPr="00F31367" w:rsidRDefault="006B3824" w:rsidP="00F3136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F31367" w:rsidRPr="00F31367">
        <w:rPr>
          <w:rFonts w:ascii="Arial" w:hAnsi="Arial" w:cs="Arial"/>
          <w:sz w:val="20"/>
          <w:szCs w:val="20"/>
        </w:rPr>
        <w:t xml:space="preserve">Traditional methods for identification of fish species require study of their skeletons. The skeletons are obtained by boiling and pulling the meat off or using </w:t>
      </w:r>
      <w:proofErr w:type="spellStart"/>
      <w:r w:rsidR="00F31367" w:rsidRPr="00F31367">
        <w:rPr>
          <w:rFonts w:ascii="Arial" w:hAnsi="Arial" w:cs="Arial"/>
          <w:sz w:val="20"/>
          <w:szCs w:val="20"/>
        </w:rPr>
        <w:t>dermestid</w:t>
      </w:r>
      <w:proofErr w:type="spellEnd"/>
      <w:r w:rsidR="00F31367" w:rsidRPr="00F31367">
        <w:rPr>
          <w:rFonts w:ascii="Arial" w:hAnsi="Arial" w:cs="Arial"/>
          <w:sz w:val="20"/>
          <w:szCs w:val="20"/>
        </w:rPr>
        <w:t xml:space="preserve"> beetles to clean the skeletons. Boiling is a crude method that requires careful reassembly of hard parts and the beetles require months to clean the skeleton.</w:t>
      </w:r>
    </w:p>
    <w:p w:rsidR="002524EE" w:rsidRPr="006B3824" w:rsidRDefault="00F31367" w:rsidP="00F3136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31367">
        <w:rPr>
          <w:rFonts w:ascii="Arial" w:hAnsi="Arial" w:cs="Arial"/>
          <w:sz w:val="20"/>
          <w:szCs w:val="20"/>
        </w:rPr>
        <w:t>The goliath grouper (</w:t>
      </w:r>
      <w:proofErr w:type="spellStart"/>
      <w:r w:rsidRPr="00F31367">
        <w:rPr>
          <w:rFonts w:ascii="Arial" w:hAnsi="Arial" w:cs="Arial"/>
          <w:i/>
          <w:sz w:val="20"/>
          <w:szCs w:val="20"/>
        </w:rPr>
        <w:t>Epinephelus</w:t>
      </w:r>
      <w:proofErr w:type="spellEnd"/>
      <w:r w:rsidRPr="00F313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1367">
        <w:rPr>
          <w:rFonts w:ascii="Arial" w:hAnsi="Arial" w:cs="Arial"/>
          <w:i/>
          <w:sz w:val="20"/>
          <w:szCs w:val="20"/>
        </w:rPr>
        <w:t>itajara</w:t>
      </w:r>
      <w:proofErr w:type="spellEnd"/>
      <w:r w:rsidRPr="00F31367">
        <w:rPr>
          <w:rFonts w:ascii="Arial" w:hAnsi="Arial" w:cs="Arial"/>
          <w:sz w:val="20"/>
          <w:szCs w:val="20"/>
        </w:rPr>
        <w:t>) is a protected species and requires examination of their skull for its identification. We propose</w:t>
      </w:r>
      <w:r w:rsidR="005B1745">
        <w:rPr>
          <w:rFonts w:ascii="Arial" w:hAnsi="Arial" w:cs="Arial"/>
          <w:sz w:val="20"/>
          <w:szCs w:val="20"/>
        </w:rPr>
        <w:t>d</w:t>
      </w:r>
      <w:r w:rsidRPr="00F31367">
        <w:rPr>
          <w:rFonts w:ascii="Arial" w:hAnsi="Arial" w:cs="Arial"/>
          <w:sz w:val="20"/>
          <w:szCs w:val="20"/>
        </w:rPr>
        <w:t xml:space="preserve"> to study skull morphology to recognize the species utilizing imaging technology instead of the traditional methods. Imaging technology can be a valuable tool for species identification to natural history museums.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401162" w:rsidRDefault="006B3824" w:rsidP="00F3136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1367" w:rsidRPr="00F31367">
        <w:rPr>
          <w:rFonts w:ascii="Arial" w:hAnsi="Arial" w:cs="Arial"/>
          <w:sz w:val="20"/>
          <w:szCs w:val="20"/>
        </w:rPr>
        <w:t>The fish</w:t>
      </w:r>
      <w:r w:rsidR="005B1745">
        <w:rPr>
          <w:rFonts w:ascii="Arial" w:hAnsi="Arial" w:cs="Arial"/>
          <w:sz w:val="20"/>
          <w:szCs w:val="20"/>
        </w:rPr>
        <w:t xml:space="preserve"> skull was imaged at 17T</w:t>
      </w:r>
      <w:r w:rsidR="00F31367" w:rsidRPr="00F31367">
        <w:rPr>
          <w:rFonts w:ascii="Arial" w:hAnsi="Arial" w:cs="Arial"/>
          <w:sz w:val="20"/>
          <w:szCs w:val="20"/>
        </w:rPr>
        <w:t xml:space="preserve"> at the Advanced Magnetic Res</w:t>
      </w:r>
      <w:r w:rsidR="00C458EC">
        <w:rPr>
          <w:rFonts w:ascii="Arial" w:hAnsi="Arial" w:cs="Arial"/>
          <w:sz w:val="20"/>
          <w:szCs w:val="20"/>
        </w:rPr>
        <w:t xml:space="preserve">onance Imaging and Spectroscopy </w:t>
      </w:r>
    </w:p>
    <w:p w:rsidR="00F31367" w:rsidRPr="00F31367" w:rsidRDefault="00C458EC" w:rsidP="00F3136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(AMRIS) Facility</w:t>
      </w:r>
      <w:r w:rsidR="00F31367">
        <w:rPr>
          <w:rFonts w:ascii="Arial" w:hAnsi="Arial" w:cs="Arial"/>
          <w:sz w:val="20"/>
          <w:szCs w:val="20"/>
        </w:rPr>
        <w:t xml:space="preserve">. </w:t>
      </w:r>
      <w:r w:rsidR="005B1745">
        <w:rPr>
          <w:rFonts w:ascii="Arial" w:hAnsi="Arial" w:cs="Arial"/>
          <w:sz w:val="20"/>
          <w:szCs w:val="20"/>
        </w:rPr>
        <w:t xml:space="preserve">The sample was </w:t>
      </w:r>
      <w:r w:rsidR="00F31367" w:rsidRPr="00F31367">
        <w:rPr>
          <w:rFonts w:ascii="Arial" w:hAnsi="Arial" w:cs="Arial"/>
          <w:sz w:val="20"/>
          <w:szCs w:val="20"/>
        </w:rPr>
        <w:t xml:space="preserve">prepared in </w:t>
      </w:r>
      <w:proofErr w:type="spellStart"/>
      <w:r w:rsidR="005B1745">
        <w:rPr>
          <w:rFonts w:ascii="Arial" w:hAnsi="Arial" w:cs="Arial"/>
          <w:sz w:val="20"/>
          <w:szCs w:val="20"/>
        </w:rPr>
        <w:t>fluorinert</w:t>
      </w:r>
      <w:proofErr w:type="spellEnd"/>
      <w:r w:rsidR="005B1745">
        <w:rPr>
          <w:rFonts w:ascii="Arial" w:hAnsi="Arial" w:cs="Arial"/>
          <w:sz w:val="20"/>
          <w:szCs w:val="20"/>
        </w:rPr>
        <w:t xml:space="preserve"> FC-43 to avoid</w:t>
      </w:r>
      <w:r w:rsidR="00F31367" w:rsidRPr="00F31367">
        <w:rPr>
          <w:rFonts w:ascii="Arial" w:hAnsi="Arial" w:cs="Arial"/>
          <w:sz w:val="20"/>
          <w:szCs w:val="20"/>
        </w:rPr>
        <w:t xml:space="preserve"> background signal. </w:t>
      </w:r>
      <w:r w:rsidR="00F31367">
        <w:rPr>
          <w:rFonts w:ascii="Arial" w:hAnsi="Arial" w:cs="Arial"/>
          <w:sz w:val="20"/>
          <w:szCs w:val="20"/>
        </w:rPr>
        <w:t xml:space="preserve">Zero Echo Time (ZTE) imaging </w:t>
      </w:r>
      <w:r w:rsidR="00F31367" w:rsidRPr="00F31367">
        <w:rPr>
          <w:rFonts w:ascii="Arial" w:hAnsi="Arial" w:cs="Arial"/>
          <w:sz w:val="20"/>
          <w:szCs w:val="20"/>
        </w:rPr>
        <w:t>experiments</w:t>
      </w:r>
      <w:r w:rsidR="00F31367">
        <w:rPr>
          <w:rFonts w:ascii="Arial" w:hAnsi="Arial" w:cs="Arial"/>
          <w:sz w:val="20"/>
          <w:szCs w:val="20"/>
        </w:rPr>
        <w:t xml:space="preserve"> were</w:t>
      </w:r>
      <w:r w:rsidR="00F31367" w:rsidRPr="00F31367">
        <w:rPr>
          <w:rFonts w:ascii="Arial" w:hAnsi="Arial" w:cs="Arial"/>
          <w:sz w:val="20"/>
          <w:szCs w:val="20"/>
        </w:rPr>
        <w:t xml:space="preserve"> used to highlight bone and other anatomical features not particularly visible with traditional imaging methods</w:t>
      </w:r>
      <w:r w:rsidR="00E24749">
        <w:rPr>
          <w:rFonts w:ascii="Arial" w:hAnsi="Arial" w:cs="Arial"/>
          <w:sz w:val="20"/>
          <w:szCs w:val="20"/>
        </w:rPr>
        <w:t xml:space="preserve"> (1)</w:t>
      </w:r>
      <w:r w:rsidR="005B1745">
        <w:rPr>
          <w:rFonts w:ascii="Arial" w:hAnsi="Arial" w:cs="Arial"/>
          <w:sz w:val="20"/>
          <w:szCs w:val="20"/>
        </w:rPr>
        <w:t xml:space="preserve">.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5B1745" w:rsidRPr="00F31367" w:rsidRDefault="005B1745" w:rsidP="005B174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Pr="00F31367">
        <w:rPr>
          <w:rFonts w:ascii="Arial" w:hAnsi="Arial" w:cs="Arial"/>
          <w:sz w:val="20"/>
          <w:szCs w:val="20"/>
        </w:rPr>
        <w:t xml:space="preserve">tandard imaging methods do not reflect bone structure very well </w:t>
      </w:r>
      <w:r>
        <w:rPr>
          <w:rFonts w:ascii="Arial" w:hAnsi="Arial" w:cs="Arial"/>
          <w:sz w:val="20"/>
          <w:szCs w:val="20"/>
        </w:rPr>
        <w:t>but the Z</w:t>
      </w:r>
      <w:r w:rsidRPr="00F31367">
        <w:rPr>
          <w:rFonts w:ascii="Arial" w:hAnsi="Arial" w:cs="Arial"/>
          <w:sz w:val="20"/>
          <w:szCs w:val="20"/>
        </w:rPr>
        <w:t>TE experiments have been successfully applied to bone and other structures which have in the pa</w:t>
      </w:r>
      <w:r w:rsidR="00E24749">
        <w:rPr>
          <w:rFonts w:ascii="Arial" w:hAnsi="Arial" w:cs="Arial"/>
          <w:sz w:val="20"/>
          <w:szCs w:val="20"/>
        </w:rPr>
        <w:t>st required CT to distinguish</w:t>
      </w:r>
      <w:r w:rsidRPr="00F31367">
        <w:rPr>
          <w:rFonts w:ascii="Arial" w:hAnsi="Arial" w:cs="Arial"/>
          <w:sz w:val="20"/>
          <w:szCs w:val="20"/>
        </w:rPr>
        <w:t>.</w:t>
      </w:r>
    </w:p>
    <w:p w:rsidR="00EE620A" w:rsidRDefault="007E51FB" w:rsidP="005B174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6F9D1" wp14:editId="4A2ABB4A">
                <wp:simplePos x="0" y="0"/>
                <wp:positionH relativeFrom="margin">
                  <wp:posOffset>-32385</wp:posOffset>
                </wp:positionH>
                <wp:positionV relativeFrom="paragraph">
                  <wp:posOffset>2609215</wp:posOffset>
                </wp:positionV>
                <wp:extent cx="6259195" cy="259715"/>
                <wp:effectExtent l="0" t="0" r="8255" b="6985"/>
                <wp:wrapThrough wrapText="bothSides">
                  <wp:wrapPolygon edited="0">
                    <wp:start x="0" y="0"/>
                    <wp:lineTo x="0" y="20597"/>
                    <wp:lineTo x="21563" y="20597"/>
                    <wp:lineTo x="21563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ZTE experiments – TE=0, TR=3ms, Matrix size 256x256x256. Images were rendered in </w:t>
                            </w:r>
                            <w:proofErr w:type="spellStart"/>
                            <w:r w:rsidR="007E5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Osirex</w:t>
                            </w:r>
                            <w:proofErr w:type="spellEnd"/>
                            <w:r w:rsidR="007E5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86F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205.45pt;width:492.8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jegQ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8VGcwrgajewNmfoRtYDlm6sydpp8dUvqmI2rLX1mrh44TBtFl4WZydnXCcQFk&#10;M7zTDNyQndcRaGxtH0oHxUCADiw9npgJoVDYnOdllVUlRhTOYL7IyuiC1Mfbxjr/husehUmDLTAf&#10;0cn+zvkQDamPJsGZ01KwtZAyLux2cyMt2hNQyTp+B/RnZlIFY6XDtQlx2oEgwUc4C+FG1r9VWV6k&#10;13k1W8+Xi1mxLspZtUiXszSrrqt5WlTF7fp7CDAr6k4wxtWdUPyowKz4O4YPvTBpJ2oQDQ2uyryc&#10;KPpjkmn8fpdkLzw0pBR9g5cnI1IHYl8rBmmT2hMhp3nyPPxYZajB8R+rEmUQmJ804MfNCChBGxvN&#10;HkEQVgNfwDq8IjDptP2K0QAd2WD3ZUcsx0i+VSCqKiuK0MJxUZSLHBb2/GRzfkIUBagGe4ym6Y2f&#10;2n5nrNh24GmSsdKvQIitiBp5iuogX+i6mMzhhQhtfb6OVk/v2OoHAAAA//8DAFBLAwQUAAYACAAA&#10;ACEAXkCyEN8AAAAKAQAADwAAAGRycy9kb3ducmV2LnhtbEyP3U6DQBBG7018h82YeGPaBVMoIEuj&#10;Jhpv+/MAAzsFIrtL2G2hb+94pZczc/LN+crdYgZxpcn3ziqI1xEIso3TvW0VnI4fqwyED2g1Ds6S&#10;ght52FX3dyUW2s12T9dDaAWHWF+ggi6EsZDSNx0Z9Gs3kuXb2U0GA49TK/WEM4ebQT5HUSoN9pY/&#10;dDjSe0fN9+FiFJy/5qckn+vPcNruN+kb9tva3ZR6fFheX0AEWsIfDL/6rA4VO9XuYrUXg4JVEjOp&#10;YBNHOQgG8ixKQdS8SeIMZFXK/xWqHwAAAP//AwBQSwECLQAUAAYACAAAACEAtoM4kv4AAADhAQAA&#10;EwAAAAAAAAAAAAAAAAAAAAAAW0NvbnRlbnRfVHlwZXNdLnhtbFBLAQItABQABgAIAAAAIQA4/SH/&#10;1gAAAJQBAAALAAAAAAAAAAAAAAAAAC8BAABfcmVscy8ucmVsc1BLAQItABQABgAIAAAAIQA6DAje&#10;gQIAAA8FAAAOAAAAAAAAAAAAAAAAAC4CAABkcnMvZTJvRG9jLnhtbFBLAQItABQABgAIAAAAIQBe&#10;QLIQ3wAAAAoBAAAPAAAAAAAAAAAAAAAAANsEAABkcnMvZG93bnJldi54bWxQSwUGAAAAAAQABADz&#10;AAAA5wUAAAAA&#10;" stroked="f">
                <v:textbox>
                  <w:txbxContent>
                    <w:p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E51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ZTE experiments – TE=0, TR=3ms, Matrix size 256x256x256. Images were rendered in </w:t>
                      </w:r>
                      <w:proofErr w:type="spellStart"/>
                      <w:r w:rsidR="007E51FB">
                        <w:rPr>
                          <w:rFonts w:ascii="Arial" w:hAnsi="Arial" w:cs="Arial"/>
                          <w:sz w:val="18"/>
                          <w:szCs w:val="18"/>
                        </w:rPr>
                        <w:t>Osirex</w:t>
                      </w:r>
                      <w:proofErr w:type="spellEnd"/>
                      <w:r w:rsidR="007E51F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F31367" w:rsidRPr="00F31367">
        <w:rPr>
          <w:rFonts w:ascii="Arial" w:hAnsi="Arial" w:cs="Arial"/>
          <w:i/>
          <w:sz w:val="20"/>
          <w:szCs w:val="20"/>
        </w:rPr>
        <w:t>Epinephelus</w:t>
      </w:r>
      <w:proofErr w:type="spellEnd"/>
      <w:r w:rsidR="00F31367" w:rsidRPr="00F313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1367" w:rsidRPr="00F31367">
        <w:rPr>
          <w:rFonts w:ascii="Arial" w:hAnsi="Arial" w:cs="Arial"/>
          <w:i/>
          <w:sz w:val="20"/>
          <w:szCs w:val="20"/>
        </w:rPr>
        <w:t>itajara</w:t>
      </w:r>
      <w:proofErr w:type="spellEnd"/>
      <w:r w:rsidR="00E24749">
        <w:rPr>
          <w:rFonts w:ascii="Arial" w:hAnsi="Arial" w:cs="Arial"/>
          <w:sz w:val="20"/>
          <w:szCs w:val="20"/>
        </w:rPr>
        <w:t xml:space="preserve"> is </w:t>
      </w:r>
      <w:r w:rsidR="00F31367" w:rsidRPr="00F31367">
        <w:rPr>
          <w:rFonts w:ascii="Arial" w:hAnsi="Arial" w:cs="Arial"/>
          <w:sz w:val="20"/>
          <w:szCs w:val="20"/>
        </w:rPr>
        <w:t>a species distinguished by its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="00F31367" w:rsidRPr="00F31367">
        <w:rPr>
          <w:rFonts w:ascii="Arial" w:hAnsi="Arial" w:cs="Arial"/>
          <w:sz w:val="20"/>
          <w:szCs w:val="20"/>
        </w:rPr>
        <w:t>broad head</w:t>
      </w:r>
      <w:r w:rsidR="00E24749">
        <w:rPr>
          <w:rFonts w:ascii="Arial" w:hAnsi="Arial" w:cs="Arial"/>
          <w:sz w:val="20"/>
          <w:szCs w:val="20"/>
        </w:rPr>
        <w:t>.</w:t>
      </w:r>
      <w:r w:rsidR="00F31367" w:rsidRPr="00F31367">
        <w:rPr>
          <w:rFonts w:ascii="Arial" w:hAnsi="Arial" w:cs="Arial"/>
          <w:sz w:val="20"/>
          <w:szCs w:val="20"/>
        </w:rPr>
        <w:t xml:space="preserve"> A distinction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="00F31367" w:rsidRPr="00F31367">
        <w:rPr>
          <w:rFonts w:ascii="Arial" w:hAnsi="Arial" w:cs="Arial"/>
          <w:sz w:val="20"/>
          <w:szCs w:val="20"/>
        </w:rPr>
        <w:t xml:space="preserve">between </w:t>
      </w:r>
      <w:proofErr w:type="spellStart"/>
      <w:r w:rsidR="00F31367" w:rsidRPr="00E24749">
        <w:rPr>
          <w:rFonts w:ascii="Arial" w:hAnsi="Arial" w:cs="Arial"/>
          <w:i/>
          <w:sz w:val="20"/>
          <w:szCs w:val="20"/>
        </w:rPr>
        <w:t>itajara</w:t>
      </w:r>
      <w:proofErr w:type="spellEnd"/>
      <w:r w:rsidR="00F31367" w:rsidRPr="00F31367">
        <w:rPr>
          <w:rFonts w:ascii="Arial" w:hAnsi="Arial" w:cs="Arial"/>
          <w:sz w:val="20"/>
          <w:szCs w:val="20"/>
        </w:rPr>
        <w:t xml:space="preserve"> and the other species is obtained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="00F31367" w:rsidRPr="00F31367">
        <w:rPr>
          <w:rFonts w:ascii="Arial" w:hAnsi="Arial" w:cs="Arial"/>
          <w:sz w:val="20"/>
          <w:szCs w:val="20"/>
        </w:rPr>
        <w:t>with the ratio of</w:t>
      </w:r>
      <w:r w:rsidR="00F31367">
        <w:rPr>
          <w:rFonts w:ascii="Arial" w:hAnsi="Arial" w:cs="Arial"/>
          <w:sz w:val="20"/>
          <w:szCs w:val="20"/>
        </w:rPr>
        <w:t xml:space="preserve"> </w:t>
      </w:r>
      <w:r w:rsidR="00F31367" w:rsidRPr="00F31367">
        <w:rPr>
          <w:rFonts w:ascii="Arial" w:hAnsi="Arial" w:cs="Arial"/>
          <w:sz w:val="20"/>
          <w:szCs w:val="20"/>
        </w:rPr>
        <w:t>head width to head depth</w:t>
      </w:r>
      <w:r w:rsidR="00E24749">
        <w:rPr>
          <w:rFonts w:ascii="Arial" w:hAnsi="Arial" w:cs="Arial"/>
          <w:sz w:val="20"/>
          <w:szCs w:val="20"/>
        </w:rPr>
        <w:t xml:space="preserve"> (2</w:t>
      </w:r>
      <w:r w:rsidR="00F31367">
        <w:rPr>
          <w:rFonts w:ascii="Arial" w:hAnsi="Arial" w:cs="Arial"/>
          <w:sz w:val="20"/>
          <w:szCs w:val="20"/>
        </w:rPr>
        <w:t>)</w:t>
      </w:r>
      <w:r w:rsidR="0018697C">
        <w:rPr>
          <w:rFonts w:ascii="Arial" w:hAnsi="Arial" w:cs="Arial"/>
          <w:sz w:val="20"/>
          <w:szCs w:val="20"/>
        </w:rPr>
        <w:t xml:space="preserve">. </w:t>
      </w:r>
    </w:p>
    <w:p w:rsidR="006A6419" w:rsidRDefault="00CB1B5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18DD2612" wp14:editId="770A5069">
            <wp:simplePos x="0" y="0"/>
            <wp:positionH relativeFrom="margin">
              <wp:posOffset>4331022</wp:posOffset>
            </wp:positionH>
            <wp:positionV relativeFrom="margin">
              <wp:posOffset>4152900</wp:posOffset>
            </wp:positionV>
            <wp:extent cx="1992630" cy="1992630"/>
            <wp:effectExtent l="0" t="0" r="7620" b="7620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 wp14:anchorId="561AD220" wp14:editId="5DFC07BD">
            <wp:simplePos x="0" y="0"/>
            <wp:positionH relativeFrom="margin">
              <wp:posOffset>2211070</wp:posOffset>
            </wp:positionH>
            <wp:positionV relativeFrom="margin">
              <wp:posOffset>4159885</wp:posOffset>
            </wp:positionV>
            <wp:extent cx="1985645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344" y="21310"/>
                <wp:lineTo x="21344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28C1D001" wp14:editId="2E5570E2">
            <wp:simplePos x="0" y="0"/>
            <wp:positionH relativeFrom="margin">
              <wp:posOffset>33342</wp:posOffset>
            </wp:positionH>
            <wp:positionV relativeFrom="margin">
              <wp:posOffset>4152265</wp:posOffset>
            </wp:positionV>
            <wp:extent cx="2004060" cy="2004060"/>
            <wp:effectExtent l="0" t="0" r="0" b="0"/>
            <wp:wrapThrough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C0" w:rsidRDefault="00D008C0" w:rsidP="00C3138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C3138F" w:rsidRPr="006B3824" w:rsidRDefault="00C3138F" w:rsidP="00C313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E620A" w:rsidRDefault="00C3138F" w:rsidP="00C313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4749">
        <w:rPr>
          <w:rFonts w:ascii="Arial" w:hAnsi="Arial" w:cs="Arial"/>
          <w:sz w:val="20"/>
          <w:szCs w:val="20"/>
        </w:rPr>
        <w:t>Now that the optimum imaging parameters have been determined using this phantom, the next step is to determine the head width to depth ratio in an intact fish.</w:t>
      </w:r>
    </w:p>
    <w:p w:rsidR="00E24749" w:rsidRDefault="00E24749" w:rsidP="00C313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3138F" w:rsidRDefault="00C3138F" w:rsidP="00C3138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C3138F" w:rsidRDefault="00C3138F" w:rsidP="00C3138F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 of Florida.  </w:t>
      </w:r>
    </w:p>
    <w:p w:rsidR="00C3138F" w:rsidRPr="006B3824" w:rsidRDefault="00C3138F" w:rsidP="00C313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:rsidR="00C3138F" w:rsidRPr="006B3824" w:rsidRDefault="00C3138F" w:rsidP="00C3138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24749" w:rsidRPr="006B3824" w:rsidRDefault="00E24749" w:rsidP="00E2474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</w:t>
      </w:r>
      <w:proofErr w:type="gramStart"/>
      <w:r>
        <w:rPr>
          <w:rFonts w:ascii="Arial" w:hAnsi="Arial" w:cs="Arial"/>
          <w:sz w:val="20"/>
          <w:szCs w:val="20"/>
        </w:rPr>
        <w:t xml:space="preserve">]  </w:t>
      </w:r>
      <w:proofErr w:type="spellStart"/>
      <w:r>
        <w:rPr>
          <w:rFonts w:ascii="Arial" w:hAnsi="Arial" w:cs="Arial"/>
          <w:sz w:val="20"/>
          <w:szCs w:val="20"/>
        </w:rPr>
        <w:t>Weiger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M., Bone.</w:t>
      </w:r>
      <w:r w:rsidRPr="005B1745">
        <w:rPr>
          <w:rFonts w:ascii="Arial" w:hAnsi="Arial" w:cs="Arial"/>
          <w:sz w:val="20"/>
          <w:szCs w:val="20"/>
        </w:rPr>
        <w:t xml:space="preserve"> May</w:t>
      </w:r>
      <w:proofErr w:type="gramStart"/>
      <w:r w:rsidRPr="005B1745">
        <w:rPr>
          <w:rFonts w:ascii="Arial" w:hAnsi="Arial" w:cs="Arial"/>
          <w:sz w:val="20"/>
          <w:szCs w:val="20"/>
        </w:rPr>
        <w:t>;54</w:t>
      </w:r>
      <w:proofErr w:type="gramEnd"/>
      <w:r w:rsidRPr="005B1745">
        <w:rPr>
          <w:rFonts w:ascii="Arial" w:hAnsi="Arial" w:cs="Arial"/>
          <w:sz w:val="20"/>
          <w:szCs w:val="20"/>
        </w:rPr>
        <w:t>(1):44-7</w:t>
      </w:r>
      <w:r>
        <w:rPr>
          <w:rFonts w:ascii="Arial" w:hAnsi="Arial" w:cs="Arial"/>
          <w:sz w:val="20"/>
          <w:szCs w:val="20"/>
        </w:rPr>
        <w:t xml:space="preserve"> (2013)</w:t>
      </w:r>
    </w:p>
    <w:p w:rsidR="00C3138F" w:rsidRDefault="00E24749" w:rsidP="00E2474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</w:t>
      </w:r>
      <w:r w:rsidR="00C3138F" w:rsidRPr="006B3824">
        <w:rPr>
          <w:rFonts w:ascii="Arial" w:hAnsi="Arial" w:cs="Arial"/>
          <w:sz w:val="20"/>
          <w:szCs w:val="20"/>
        </w:rPr>
        <w:t>]</w:t>
      </w:r>
      <w:r w:rsidR="00C3138F" w:rsidRPr="006B3824">
        <w:rPr>
          <w:rFonts w:ascii="Arial" w:hAnsi="Arial" w:cs="Arial"/>
          <w:sz w:val="20"/>
          <w:szCs w:val="20"/>
        </w:rPr>
        <w:tab/>
      </w:r>
      <w:r w:rsidR="00F31367">
        <w:rPr>
          <w:rFonts w:ascii="Arial" w:hAnsi="Arial" w:cs="Arial"/>
          <w:sz w:val="20"/>
          <w:szCs w:val="20"/>
        </w:rPr>
        <w:t>Smith, C. L.,</w:t>
      </w:r>
      <w:r w:rsidR="00F31367" w:rsidRPr="00F31367">
        <w:rPr>
          <w:rFonts w:ascii="Arial" w:hAnsi="Arial" w:cs="Arial"/>
          <w:sz w:val="20"/>
          <w:szCs w:val="20"/>
        </w:rPr>
        <w:t xml:space="preserve"> Bulletin of the American Museum of Natural History. Volume 146: Article 2</w:t>
      </w:r>
      <w:r w:rsidR="00F31367">
        <w:rPr>
          <w:rFonts w:ascii="Arial" w:hAnsi="Arial" w:cs="Arial"/>
          <w:sz w:val="20"/>
          <w:szCs w:val="20"/>
        </w:rPr>
        <w:t xml:space="preserve"> (1971)</w:t>
      </w:r>
    </w:p>
    <w:sectPr w:rsidR="00C3138F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0F" w:rsidRDefault="0058670F">
      <w:r>
        <w:separator/>
      </w:r>
    </w:p>
  </w:endnote>
  <w:endnote w:type="continuationSeparator" w:id="0">
    <w:p w:rsidR="0058670F" w:rsidRDefault="0058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0F" w:rsidRDefault="0058670F">
      <w:r>
        <w:separator/>
      </w:r>
    </w:p>
  </w:footnote>
  <w:footnote w:type="continuationSeparator" w:id="0">
    <w:p w:rsidR="0058670F" w:rsidRDefault="0058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D2E2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4840"/>
          <wp:effectExtent l="0" t="0" r="0" b="381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40866"/>
    <w:multiLevelType w:val="hybridMultilevel"/>
    <w:tmpl w:val="A4B4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4131B"/>
    <w:rsid w:val="00141FE9"/>
    <w:rsid w:val="001424DF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470EE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01162"/>
    <w:rsid w:val="00410D2C"/>
    <w:rsid w:val="00420894"/>
    <w:rsid w:val="00450C97"/>
    <w:rsid w:val="00486FF9"/>
    <w:rsid w:val="0049187D"/>
    <w:rsid w:val="00491C5D"/>
    <w:rsid w:val="004A227C"/>
    <w:rsid w:val="004A228B"/>
    <w:rsid w:val="004C0B7B"/>
    <w:rsid w:val="004F160B"/>
    <w:rsid w:val="005034C0"/>
    <w:rsid w:val="00511F7E"/>
    <w:rsid w:val="005173CE"/>
    <w:rsid w:val="0053142A"/>
    <w:rsid w:val="005452B9"/>
    <w:rsid w:val="00583BC3"/>
    <w:rsid w:val="0058670F"/>
    <w:rsid w:val="005A1B84"/>
    <w:rsid w:val="005B1745"/>
    <w:rsid w:val="005C4422"/>
    <w:rsid w:val="005C4667"/>
    <w:rsid w:val="005C5648"/>
    <w:rsid w:val="00625028"/>
    <w:rsid w:val="006265B3"/>
    <w:rsid w:val="00627F7D"/>
    <w:rsid w:val="006612DC"/>
    <w:rsid w:val="00672D41"/>
    <w:rsid w:val="006A6419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7E51FB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3138F"/>
    <w:rsid w:val="00C458EC"/>
    <w:rsid w:val="00C75A17"/>
    <w:rsid w:val="00C81666"/>
    <w:rsid w:val="00C83434"/>
    <w:rsid w:val="00C83EAA"/>
    <w:rsid w:val="00C93F0D"/>
    <w:rsid w:val="00CA6625"/>
    <w:rsid w:val="00CB0819"/>
    <w:rsid w:val="00CB1A7C"/>
    <w:rsid w:val="00CB1B59"/>
    <w:rsid w:val="00CB4058"/>
    <w:rsid w:val="00CC5B40"/>
    <w:rsid w:val="00CD2E27"/>
    <w:rsid w:val="00CE3F90"/>
    <w:rsid w:val="00D008C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474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E620A"/>
    <w:rsid w:val="00F20C5E"/>
    <w:rsid w:val="00F23F2F"/>
    <w:rsid w:val="00F31351"/>
    <w:rsid w:val="00F31367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FD5EE-0618-4327-AF71-25BE116F8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2016-02-10T19:44:00Z</dcterms:created>
  <dcterms:modified xsi:type="dcterms:W3CDTF">2016-02-10T19:46:00Z</dcterms:modified>
</cp:coreProperties>
</file>