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A30955" w:rsidRDefault="000825F8" w:rsidP="00DC589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Diffusion Tensor I</w:t>
      </w:r>
      <w:r w:rsidR="00A30955" w:rsidRPr="00A30955">
        <w:rPr>
          <w:rFonts w:ascii="Arial" w:hAnsi="Arial" w:cs="Arial"/>
          <w:b/>
          <w:lang w:eastAsia="en-US"/>
        </w:rPr>
        <w:t xml:space="preserve">maging </w:t>
      </w:r>
      <w:r>
        <w:rPr>
          <w:rFonts w:ascii="Arial" w:hAnsi="Arial" w:cs="Arial"/>
          <w:b/>
          <w:lang w:eastAsia="en-US"/>
        </w:rPr>
        <w:t xml:space="preserve">Analysis to </w:t>
      </w:r>
      <w:r w:rsidR="00AF30B5">
        <w:rPr>
          <w:rFonts w:ascii="Arial" w:hAnsi="Arial" w:cs="Arial"/>
          <w:b/>
          <w:lang w:eastAsia="en-US"/>
        </w:rPr>
        <w:t>A</w:t>
      </w:r>
      <w:r>
        <w:rPr>
          <w:rFonts w:ascii="Arial" w:hAnsi="Arial" w:cs="Arial"/>
          <w:b/>
          <w:lang w:eastAsia="en-US"/>
        </w:rPr>
        <w:t>s</w:t>
      </w:r>
      <w:r w:rsidR="00DC5895">
        <w:rPr>
          <w:rFonts w:ascii="Arial" w:hAnsi="Arial" w:cs="Arial"/>
          <w:b/>
          <w:lang w:eastAsia="en-US"/>
        </w:rPr>
        <w:t>sess Stem Cell Therapy Efficacy</w:t>
      </w:r>
      <w:r w:rsidR="00EC6289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in T</w:t>
      </w:r>
      <w:r w:rsidR="00A30955" w:rsidRPr="00A30955">
        <w:rPr>
          <w:rFonts w:ascii="Arial" w:hAnsi="Arial" w:cs="Arial"/>
          <w:b/>
          <w:lang w:eastAsia="en-US"/>
        </w:rPr>
        <w:t>raumatic</w:t>
      </w:r>
      <w:r w:rsidR="00DC5895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Brain I</w:t>
      </w:r>
      <w:r w:rsidR="00A30955" w:rsidRPr="00A30955">
        <w:rPr>
          <w:rFonts w:ascii="Arial" w:hAnsi="Arial" w:cs="Arial"/>
          <w:b/>
          <w:lang w:eastAsia="en-US"/>
        </w:rPr>
        <w:t>njury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0825F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Abad</w:t>
      </w:r>
      <w:r w:rsidR="007B7B64">
        <w:rPr>
          <w:rFonts w:ascii="Arial" w:hAnsi="Arial" w:cs="Arial"/>
          <w:sz w:val="20"/>
          <w:szCs w:val="20"/>
        </w:rPr>
        <w:t>, N.</w:t>
      </w:r>
      <w:r w:rsidR="00842AB0">
        <w:rPr>
          <w:rFonts w:ascii="Arial" w:hAnsi="Arial" w:cs="Arial"/>
          <w:sz w:val="20"/>
          <w:szCs w:val="20"/>
        </w:rPr>
        <w:t>;</w:t>
      </w:r>
      <w:r w:rsidR="007B7B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B64">
        <w:rPr>
          <w:rFonts w:ascii="Arial" w:hAnsi="Arial" w:cs="Arial"/>
          <w:sz w:val="20"/>
          <w:szCs w:val="20"/>
        </w:rPr>
        <w:t>Ould</w:t>
      </w:r>
      <w:proofErr w:type="spellEnd"/>
      <w:r w:rsidR="007B7B64">
        <w:rPr>
          <w:rFonts w:ascii="Arial" w:hAnsi="Arial" w:cs="Arial"/>
          <w:sz w:val="20"/>
          <w:szCs w:val="20"/>
        </w:rPr>
        <w:t xml:space="preserve"> Ismail, A.</w:t>
      </w:r>
      <w:r w:rsidR="00842AB0">
        <w:rPr>
          <w:rFonts w:ascii="Arial" w:hAnsi="Arial" w:cs="Arial"/>
          <w:sz w:val="20"/>
          <w:szCs w:val="20"/>
        </w:rPr>
        <w:t>;</w:t>
      </w:r>
      <w:r w:rsidR="007B7B64">
        <w:rPr>
          <w:rFonts w:ascii="Arial" w:hAnsi="Arial" w:cs="Arial"/>
          <w:sz w:val="20"/>
          <w:szCs w:val="20"/>
        </w:rPr>
        <w:t xml:space="preserve"> </w:t>
      </w:r>
      <w:r w:rsidR="007B7B64" w:rsidRPr="00842AB0">
        <w:rPr>
          <w:rFonts w:ascii="Arial" w:hAnsi="Arial" w:cs="Arial"/>
          <w:sz w:val="20"/>
          <w:szCs w:val="20"/>
          <w:u w:val="single"/>
        </w:rPr>
        <w:t>Grant, S.C.</w:t>
      </w:r>
      <w:r w:rsidRPr="00842AB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(F</w:t>
      </w:r>
      <w:r w:rsidR="00EC6289">
        <w:rPr>
          <w:rFonts w:ascii="Arial" w:hAnsi="Arial" w:cs="Arial"/>
          <w:sz w:val="20"/>
          <w:szCs w:val="20"/>
        </w:rPr>
        <w:t xml:space="preserve">lorida </w:t>
      </w:r>
      <w:r>
        <w:rPr>
          <w:rFonts w:ascii="Arial" w:hAnsi="Arial" w:cs="Arial"/>
          <w:sz w:val="20"/>
          <w:szCs w:val="20"/>
        </w:rPr>
        <w:t>S</w:t>
      </w:r>
      <w:r w:rsidR="00EC6289">
        <w:rPr>
          <w:rFonts w:ascii="Arial" w:hAnsi="Arial" w:cs="Arial"/>
          <w:sz w:val="20"/>
          <w:szCs w:val="20"/>
        </w:rPr>
        <w:t xml:space="preserve">tate </w:t>
      </w:r>
      <w:r>
        <w:rPr>
          <w:rFonts w:ascii="Arial" w:hAnsi="Arial" w:cs="Arial"/>
          <w:sz w:val="20"/>
          <w:szCs w:val="20"/>
        </w:rPr>
        <w:t>U</w:t>
      </w:r>
      <w:r w:rsidR="00EC62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="007B7B64">
        <w:rPr>
          <w:rFonts w:ascii="Arial" w:hAnsi="Arial" w:cs="Arial"/>
          <w:sz w:val="20"/>
          <w:szCs w:val="20"/>
        </w:rPr>
        <w:t xml:space="preserve">Chemical &amp; Biomedical </w:t>
      </w:r>
      <w:r>
        <w:rPr>
          <w:rFonts w:ascii="Arial" w:hAnsi="Arial" w:cs="Arial"/>
          <w:sz w:val="20"/>
          <w:szCs w:val="20"/>
        </w:rPr>
        <w:t>Engineering</w:t>
      </w:r>
      <w:r w:rsidR="00EC6289">
        <w:rPr>
          <w:rFonts w:ascii="Arial" w:hAnsi="Arial" w:cs="Arial"/>
          <w:sz w:val="20"/>
          <w:szCs w:val="20"/>
        </w:rPr>
        <w:t>, NHMFL</w:t>
      </w:r>
      <w:r>
        <w:rPr>
          <w:rFonts w:ascii="Arial" w:hAnsi="Arial" w:cs="Arial"/>
          <w:sz w:val="20"/>
          <w:szCs w:val="20"/>
        </w:rPr>
        <w:t>)</w:t>
      </w:r>
      <w:r w:rsidR="00EC628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Rosenberg</w:t>
      </w:r>
      <w:r w:rsidR="00EC6289">
        <w:rPr>
          <w:rFonts w:ascii="Arial" w:hAnsi="Arial" w:cs="Arial"/>
          <w:sz w:val="20"/>
          <w:szCs w:val="20"/>
        </w:rPr>
        <w:t>, J.T.</w:t>
      </w:r>
      <w:r>
        <w:rPr>
          <w:rFonts w:ascii="Arial" w:hAnsi="Arial" w:cs="Arial"/>
          <w:sz w:val="20"/>
          <w:szCs w:val="20"/>
        </w:rPr>
        <w:t xml:space="preserve"> (NHMFL</w:t>
      </w:r>
      <w:r w:rsidR="00EC6289"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474">
        <w:rPr>
          <w:rFonts w:ascii="Arial" w:hAnsi="Arial" w:cs="Arial"/>
          <w:sz w:val="20"/>
          <w:szCs w:val="20"/>
        </w:rPr>
        <w:t>Darkazali</w:t>
      </w:r>
      <w:proofErr w:type="spellEnd"/>
      <w:r w:rsidR="007B7B64">
        <w:rPr>
          <w:rFonts w:ascii="Arial" w:hAnsi="Arial" w:cs="Arial"/>
          <w:sz w:val="20"/>
          <w:szCs w:val="20"/>
        </w:rPr>
        <w:t xml:space="preserve">, A. and </w:t>
      </w:r>
      <w:r w:rsidR="008B6474" w:rsidRPr="00842AB0">
        <w:rPr>
          <w:rFonts w:ascii="Arial" w:hAnsi="Arial" w:cs="Arial"/>
          <w:sz w:val="20"/>
          <w:szCs w:val="20"/>
        </w:rPr>
        <w:t>Levenson</w:t>
      </w:r>
      <w:r w:rsidR="00BD721E" w:rsidRPr="00842AB0">
        <w:rPr>
          <w:rFonts w:ascii="Arial" w:hAnsi="Arial" w:cs="Arial"/>
          <w:sz w:val="20"/>
          <w:szCs w:val="20"/>
        </w:rPr>
        <w:t>, C.W.</w:t>
      </w:r>
      <w:r w:rsidR="008B6474">
        <w:rPr>
          <w:rFonts w:ascii="Arial" w:hAnsi="Arial" w:cs="Arial"/>
          <w:sz w:val="20"/>
          <w:szCs w:val="20"/>
        </w:rPr>
        <w:t xml:space="preserve"> (</w:t>
      </w:r>
      <w:r w:rsidR="006837D8">
        <w:rPr>
          <w:rFonts w:ascii="Arial" w:hAnsi="Arial" w:cs="Arial"/>
          <w:sz w:val="20"/>
          <w:szCs w:val="20"/>
        </w:rPr>
        <w:t>Florida State U.</w:t>
      </w:r>
      <w:r w:rsidR="008B6474">
        <w:rPr>
          <w:rFonts w:ascii="Arial" w:hAnsi="Arial" w:cs="Arial"/>
          <w:sz w:val="20"/>
          <w:szCs w:val="20"/>
        </w:rPr>
        <w:t xml:space="preserve">, </w:t>
      </w:r>
      <w:r w:rsidR="007B7B64">
        <w:rPr>
          <w:rFonts w:ascii="Arial" w:hAnsi="Arial" w:cs="Arial"/>
          <w:sz w:val="20"/>
          <w:szCs w:val="20"/>
        </w:rPr>
        <w:t xml:space="preserve">Neuroscience and </w:t>
      </w:r>
      <w:r w:rsidR="008B6474">
        <w:rPr>
          <w:rFonts w:ascii="Arial" w:hAnsi="Arial" w:cs="Arial"/>
          <w:sz w:val="20"/>
          <w:szCs w:val="20"/>
        </w:rPr>
        <w:t>Biomedical Sciences)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D026AB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026AB">
        <w:rPr>
          <w:rFonts w:ascii="Arial" w:hAnsi="Arial" w:cs="Arial"/>
          <w:b/>
          <w:sz w:val="20"/>
          <w:szCs w:val="20"/>
        </w:rPr>
        <w:t>Introduction</w:t>
      </w:r>
      <w:r w:rsidR="002426D5" w:rsidRPr="00D026AB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D026AB" w:rsidRDefault="00EC6289" w:rsidP="00EC628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D026AB" w:rsidRPr="00D026AB">
        <w:rPr>
          <w:rFonts w:ascii="Arial" w:hAnsi="Arial" w:cs="Arial"/>
          <w:sz w:val="20"/>
          <w:szCs w:val="20"/>
          <w:lang w:eastAsia="en-US"/>
        </w:rPr>
        <w:t>This study employs Diffusion Tensor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Imaging </w:t>
      </w:r>
      <w:r w:rsidR="007B7B64">
        <w:rPr>
          <w:rFonts w:ascii="Arial" w:hAnsi="Arial" w:cs="Arial"/>
          <w:sz w:val="20"/>
          <w:szCs w:val="20"/>
          <w:lang w:eastAsia="en-US"/>
        </w:rPr>
        <w:t>(DTI) to probe nondestructively t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7B7B64">
        <w:rPr>
          <w:rFonts w:ascii="Arial" w:hAnsi="Arial" w:cs="Arial"/>
          <w:sz w:val="20"/>
          <w:szCs w:val="20"/>
          <w:lang w:eastAsia="en-US"/>
        </w:rPr>
        <w:t>physiological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7B64">
        <w:rPr>
          <w:rFonts w:ascii="Arial" w:hAnsi="Arial" w:cs="Arial"/>
          <w:sz w:val="20"/>
          <w:szCs w:val="20"/>
          <w:lang w:eastAsia="en-US"/>
        </w:rPr>
        <w:t>and potentially synergistic impacts of endogenous neural progenitor cells (NPC) and exogenous mesenchymal stem c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ells (MSC) in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a rodent model of </w:t>
      </w:r>
      <w:r w:rsidR="007B7B64">
        <w:rPr>
          <w:rFonts w:ascii="Arial" w:hAnsi="Arial" w:cs="Arial"/>
          <w:sz w:val="20"/>
          <w:szCs w:val="20"/>
          <w:lang w:eastAsia="en-US"/>
        </w:rPr>
        <w:t>traumatic brain injury (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TBI</w:t>
      </w:r>
      <w:r w:rsidR="007B7B64">
        <w:rPr>
          <w:rFonts w:ascii="Arial" w:hAnsi="Arial" w:cs="Arial"/>
          <w:sz w:val="20"/>
          <w:szCs w:val="20"/>
          <w:lang w:eastAsia="en-US"/>
        </w:rPr>
        <w:t>)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A735A7">
        <w:rPr>
          <w:rFonts w:ascii="Arial" w:hAnsi="Arial" w:cs="Arial"/>
          <w:sz w:val="20"/>
          <w:szCs w:val="20"/>
          <w:lang w:eastAsia="en-US"/>
        </w:rPr>
        <w:t xml:space="preserve">To evaluate these effects, anisotropy and diffusivity were in rats with and without irradiation to eliminate proliferation of and impacts from NPC. </w:t>
      </w:r>
    </w:p>
    <w:p w:rsidR="002524EE" w:rsidRPr="00D026AB" w:rsidRDefault="002524EE" w:rsidP="00EC6289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D026AB">
        <w:rPr>
          <w:rFonts w:ascii="Arial" w:hAnsi="Arial" w:cs="Arial"/>
          <w:b/>
          <w:sz w:val="20"/>
          <w:szCs w:val="20"/>
        </w:rPr>
        <w:t>Experimental</w:t>
      </w:r>
      <w:r w:rsidR="00734E94" w:rsidRPr="00D026AB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Pr="00D026AB" w:rsidRDefault="006837D8" w:rsidP="00EC6289">
      <w:pPr>
        <w:tabs>
          <w:tab w:val="left" w:pos="360"/>
          <w:tab w:val="left" w:pos="99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170AD1" wp14:editId="2906DE1A">
                <wp:simplePos x="0" y="0"/>
                <wp:positionH relativeFrom="margin">
                  <wp:posOffset>2661285</wp:posOffset>
                </wp:positionH>
                <wp:positionV relativeFrom="margin">
                  <wp:posOffset>4735195</wp:posOffset>
                </wp:positionV>
                <wp:extent cx="3808095" cy="739140"/>
                <wp:effectExtent l="0" t="0" r="2095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E0C" w:rsidRPr="00B26E0C" w:rsidRDefault="00DF694F" w:rsidP="00B26E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2A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 1</w:t>
                            </w:r>
                            <w:r w:rsidR="00B26E0C" w:rsidRPr="00842A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Representative fiber 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tractography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of the entire Corpus Callosum (thresholds: </w:t>
                            </w:r>
                            <w:r w:rsidR="00A735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F</w:t>
                            </w:r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A=0.581</w:t>
                            </w:r>
                            <w:r w:rsidR="00AF30B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and angular=45°) to display differences in treatment groups based on tract density. (A and B) Sham; (C and D) TBI/no 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Irr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/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hMSC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; (E and F) TBI/no 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Irr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/Saline; (G and H</w:t>
                            </w:r>
                            <w:proofErr w:type="gram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)  BI</w:t>
                            </w:r>
                            <w:proofErr w:type="gram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/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Irr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/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hMSC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; and (I and J) TBI/</w:t>
                            </w:r>
                            <w:proofErr w:type="spellStart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Irr</w:t>
                            </w:r>
                            <w:proofErr w:type="spellEnd"/>
                            <w:r w:rsidR="00B26E0C"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/Saline</w:t>
                            </w:r>
                            <w:r w:rsidR="00EC628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55pt;margin-top:372.85pt;width:299.85pt;height:5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">
                <v:textbox>
                  <w:txbxContent>
                    <w:p w:rsidR="00B26E0C" w:rsidRPr="00B26E0C" w:rsidRDefault="00DF694F" w:rsidP="00B26E0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42A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 1</w:t>
                      </w:r>
                      <w:r w:rsidR="00B26E0C" w:rsidRPr="00842A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Representative fiber 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tractography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of the entire Corpus Callosum (thresholds: </w:t>
                      </w:r>
                      <w:r w:rsidR="00A735A7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F</w:t>
                      </w:r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A=0.581</w:t>
                      </w:r>
                      <w:r w:rsidR="00AF30B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and angular=45°) to display differences in treatment groups based on tract density. (A and B) Sham; (C and D) TBI/no 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Irr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/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hMSC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; (E and F) TBI/no 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Irr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/Saline; (G and H</w:t>
                      </w:r>
                      <w:proofErr w:type="gram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)  BI</w:t>
                      </w:r>
                      <w:proofErr w:type="gram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/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Irr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/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hMSC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; and (I and J) TBI/</w:t>
                      </w:r>
                      <w:proofErr w:type="spellStart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Irr</w:t>
                      </w:r>
                      <w:proofErr w:type="spellEnd"/>
                      <w:r w:rsidR="00B26E0C"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/Saline</w:t>
                      </w:r>
                      <w:r w:rsidR="00EC6289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6289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20ED02F" wp14:editId="4D557284">
            <wp:simplePos x="0" y="0"/>
            <wp:positionH relativeFrom="column">
              <wp:posOffset>2395855</wp:posOffset>
            </wp:positionH>
            <wp:positionV relativeFrom="paragraph">
              <wp:posOffset>739140</wp:posOffset>
            </wp:positionV>
            <wp:extent cx="4011295" cy="1979295"/>
            <wp:effectExtent l="0" t="0" r="8255" b="1905"/>
            <wp:wrapTight wrapText="bothSides">
              <wp:wrapPolygon edited="0">
                <wp:start x="0" y="0"/>
                <wp:lineTo x="0" y="21413"/>
                <wp:lineTo x="21542" y="2141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289">
        <w:rPr>
          <w:rFonts w:ascii="Arial" w:hAnsi="Arial" w:cs="Arial"/>
          <w:sz w:val="20"/>
          <w:szCs w:val="20"/>
          <w:lang w:eastAsia="en-US"/>
        </w:rPr>
        <w:tab/>
      </w:r>
      <w:r w:rsidR="00D026AB" w:rsidRPr="00D026AB">
        <w:rPr>
          <w:rFonts w:ascii="Arial" w:hAnsi="Arial" w:cs="Arial"/>
          <w:sz w:val="20"/>
          <w:szCs w:val="20"/>
          <w:u w:val="single"/>
          <w:lang w:eastAsia="en-US"/>
        </w:rPr>
        <w:t xml:space="preserve">TBI Model and Delivery of </w:t>
      </w:r>
      <w:proofErr w:type="spellStart"/>
      <w:r w:rsidR="00D026AB" w:rsidRPr="00D026AB">
        <w:rPr>
          <w:rFonts w:ascii="Arial" w:hAnsi="Arial" w:cs="Arial"/>
          <w:sz w:val="20"/>
          <w:szCs w:val="20"/>
          <w:u w:val="single"/>
          <w:lang w:eastAsia="en-US"/>
        </w:rPr>
        <w:t>hMSC</w:t>
      </w:r>
      <w:proofErr w:type="spellEnd"/>
      <w:r w:rsidR="00D026AB" w:rsidRPr="00D026AB">
        <w:rPr>
          <w:rFonts w:ascii="Arial" w:hAnsi="Arial" w:cs="Arial"/>
          <w:b/>
          <w:sz w:val="20"/>
          <w:szCs w:val="20"/>
          <w:lang w:eastAsia="en-US"/>
        </w:rPr>
        <w:t>: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The TBI rodent model has been described previously </w:t>
      </w:r>
      <w:r w:rsidR="007A1082">
        <w:rPr>
          <w:rFonts w:ascii="Arial" w:hAnsi="Arial" w:cs="Arial"/>
          <w:sz w:val="20"/>
          <w:szCs w:val="20"/>
          <w:lang w:eastAsia="en-US"/>
        </w:rPr>
        <w:t>[1].</w:t>
      </w:r>
      <w:r w:rsidR="00E3528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Sprague-Dawley rats (N=25, N=5 per treatment group) were anesthetized and fixed </w:t>
      </w:r>
      <w:r w:rsidR="00E3528A">
        <w:rPr>
          <w:rFonts w:ascii="Arial" w:hAnsi="Arial" w:cs="Arial"/>
          <w:sz w:val="20"/>
          <w:szCs w:val="20"/>
          <w:lang w:eastAsia="en-US"/>
        </w:rPr>
        <w:t>in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a stereotaxic frame to perform a 6-mm craniotomy rostral to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Bregma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. A CCI device was used to deliver a 5-mm diameter cortical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Six hours after TBI, the rats were administered either: an intravenous injection of passage-3</w:t>
      </w:r>
      <w:r w:rsidR="00E3528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hMSC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via the tail vein or a saline injection</w:t>
      </w:r>
      <w:r w:rsidR="00E3528A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7B7B64">
        <w:rPr>
          <w:rFonts w:ascii="Arial" w:hAnsi="Arial" w:cs="Arial"/>
          <w:sz w:val="20"/>
          <w:szCs w:val="20"/>
          <w:u w:val="single"/>
          <w:lang w:eastAsia="en-US"/>
        </w:rPr>
        <w:t>Subv</w:t>
      </w:r>
      <w:r w:rsidR="00206915" w:rsidRPr="00D026AB">
        <w:rPr>
          <w:rFonts w:ascii="Arial" w:hAnsi="Arial" w:cs="Arial"/>
          <w:sz w:val="20"/>
          <w:szCs w:val="20"/>
          <w:u w:val="single"/>
          <w:lang w:eastAsia="en-US"/>
        </w:rPr>
        <w:t>entricular</w:t>
      </w:r>
      <w:proofErr w:type="spellEnd"/>
      <w:r w:rsidR="00D026AB" w:rsidRPr="00D026AB">
        <w:rPr>
          <w:rFonts w:ascii="Arial" w:hAnsi="Arial" w:cs="Arial"/>
          <w:sz w:val="20"/>
          <w:szCs w:val="20"/>
          <w:u w:val="single"/>
          <w:lang w:eastAsia="en-US"/>
        </w:rPr>
        <w:t xml:space="preserve"> Zone (SVZ) Irradiation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: Targeted irradiation (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Irr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) was performed under anesthesia on the rats directly after the TBI by making use of a custom-built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lead shield, which protected the rest of the brain and exposed only the SVZ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026AB" w:rsidRPr="00D026AB">
        <w:rPr>
          <w:rFonts w:ascii="Arial" w:hAnsi="Arial" w:cs="Arial"/>
          <w:sz w:val="20"/>
          <w:szCs w:val="20"/>
          <w:u w:val="single"/>
          <w:lang w:eastAsia="en-US"/>
        </w:rPr>
        <w:t>Treatment groups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: The following treatment groups were generated and analyzed: (1) TBI/no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Irr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/saline; (2) TBI/no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Irr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/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hMSC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; (3) TBI/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Irr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/saline; (4) TBI/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Irr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/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hMSC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>;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and (5) Sham.</w:t>
      </w:r>
      <w:r w:rsidR="00AF7CD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u w:val="single"/>
          <w:lang w:eastAsia="en-US"/>
        </w:rPr>
        <w:t>MRI Acquisition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: Three weeks post-TBI, N=5 </w:t>
      </w:r>
      <w:r w:rsidR="00DF694F">
        <w:rPr>
          <w:rFonts w:ascii="Arial" w:hAnsi="Arial" w:cs="Arial"/>
          <w:sz w:val="20"/>
          <w:szCs w:val="20"/>
          <w:lang w:eastAsia="en-US"/>
        </w:rPr>
        <w:t xml:space="preserve">fixed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rats in each treatment group were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imaged </w:t>
      </w:r>
      <w:r w:rsidR="00D026AB" w:rsidRPr="00D026AB">
        <w:rPr>
          <w:rFonts w:ascii="Arial" w:hAnsi="Arial" w:cs="Arial"/>
          <w:i/>
          <w:iCs/>
          <w:sz w:val="20"/>
          <w:szCs w:val="20"/>
          <w:lang w:eastAsia="en-US"/>
        </w:rPr>
        <w:t xml:space="preserve">ex vivo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at 11.75 T. A high resolution, six-direction DTI (</w:t>
      </w:r>
      <w:r w:rsidR="00D026AB" w:rsidRPr="00D026AB">
        <w:rPr>
          <w:rFonts w:ascii="Arial" w:hAnsi="Arial" w:cs="Arial"/>
          <w:i/>
          <w:iCs/>
          <w:sz w:val="20"/>
          <w:szCs w:val="20"/>
          <w:lang w:eastAsia="en-US"/>
        </w:rPr>
        <w:t xml:space="preserve">b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value = 1000 s/mm</w:t>
      </w:r>
      <w:r w:rsidR="00A735A7" w:rsidRPr="00A735A7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AF7CDB">
        <w:rPr>
          <w:rFonts w:ascii="Arial" w:hAnsi="Arial" w:cs="Arial"/>
          <w:sz w:val="20"/>
          <w:szCs w:val="20"/>
          <w:lang w:eastAsia="en-US"/>
        </w:rPr>
        <w:t>)</w:t>
      </w:r>
      <w:r w:rsidR="00DF694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00DF694F">
        <w:rPr>
          <w:rFonts w:ascii="Arial" w:hAnsi="Arial" w:cs="Arial"/>
          <w:sz w:val="20"/>
          <w:szCs w:val="20"/>
          <w:lang w:eastAsia="en-US"/>
        </w:rPr>
        <w:t>acquired and analyzed by</w:t>
      </w:r>
      <w:r w:rsidR="00A735A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F7CDB">
        <w:rPr>
          <w:rFonts w:ascii="Arial" w:hAnsi="Arial" w:cs="Arial"/>
          <w:sz w:val="20"/>
          <w:szCs w:val="20"/>
          <w:lang w:eastAsia="en-US"/>
        </w:rPr>
        <w:t>a</w:t>
      </w:r>
      <w:r w:rsidR="00A735A7">
        <w:rPr>
          <w:rFonts w:ascii="Arial" w:hAnsi="Arial" w:cs="Arial"/>
          <w:sz w:val="20"/>
          <w:szCs w:val="20"/>
          <w:lang w:eastAsia="en-US"/>
        </w:rPr>
        <w:t>natomical segmentation, a slice-by-</w:t>
      </w:r>
      <w:r w:rsidR="00AF7CDB">
        <w:rPr>
          <w:rFonts w:ascii="Arial" w:hAnsi="Arial" w:cs="Arial"/>
          <w:sz w:val="20"/>
          <w:szCs w:val="20"/>
          <w:lang w:eastAsia="en-US"/>
        </w:rPr>
        <w:t xml:space="preserve">slice analysis and </w:t>
      </w:r>
      <w:proofErr w:type="spellStart"/>
      <w:r w:rsidR="00AF7CDB">
        <w:rPr>
          <w:rFonts w:ascii="Arial" w:hAnsi="Arial" w:cs="Arial"/>
          <w:sz w:val="20"/>
          <w:szCs w:val="20"/>
          <w:lang w:eastAsia="en-US"/>
        </w:rPr>
        <w:t>tractography</w:t>
      </w:r>
      <w:proofErr w:type="spellEnd"/>
      <w:r w:rsidR="00AF7CD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694F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001717FF">
        <w:rPr>
          <w:rFonts w:ascii="Arial" w:hAnsi="Arial" w:cs="Arial"/>
          <w:sz w:val="20"/>
          <w:szCs w:val="20"/>
          <w:lang w:eastAsia="en-US"/>
        </w:rPr>
        <w:t>numerous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735A7">
        <w:rPr>
          <w:rFonts w:ascii="Arial" w:hAnsi="Arial" w:cs="Arial"/>
          <w:sz w:val="20"/>
          <w:szCs w:val="20"/>
          <w:lang w:eastAsia="en-US"/>
        </w:rPr>
        <w:t>regions</w:t>
      </w:r>
      <w:r w:rsidR="001717FF">
        <w:rPr>
          <w:rFonts w:ascii="Arial" w:hAnsi="Arial" w:cs="Arial"/>
          <w:sz w:val="20"/>
          <w:szCs w:val="20"/>
          <w:lang w:eastAsia="en-US"/>
        </w:rPr>
        <w:t xml:space="preserve">, including the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Corpus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Callosum </w:t>
      </w:r>
      <w:r w:rsidR="00AF7CDB">
        <w:rPr>
          <w:rFonts w:ascii="Arial" w:hAnsi="Arial" w:cs="Arial"/>
          <w:sz w:val="20"/>
          <w:szCs w:val="20"/>
          <w:lang w:eastAsia="en-US"/>
        </w:rPr>
        <w:t>and Neo-Cortex.</w:t>
      </w:r>
    </w:p>
    <w:p w:rsidR="00E25473" w:rsidRPr="00B26E0C" w:rsidRDefault="002524EE" w:rsidP="00EC6289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D026AB">
        <w:rPr>
          <w:rFonts w:ascii="Arial" w:hAnsi="Arial" w:cs="Arial"/>
          <w:b/>
          <w:sz w:val="20"/>
          <w:szCs w:val="20"/>
        </w:rPr>
        <w:t>Results and Discussion</w:t>
      </w:r>
    </w:p>
    <w:p w:rsidR="00734E94" w:rsidRDefault="006837D8" w:rsidP="00EC628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279C98" wp14:editId="74AF6794">
                <wp:simplePos x="0" y="0"/>
                <wp:positionH relativeFrom="column">
                  <wp:posOffset>3408680</wp:posOffset>
                </wp:positionH>
                <wp:positionV relativeFrom="paragraph">
                  <wp:posOffset>666115</wp:posOffset>
                </wp:positionV>
                <wp:extent cx="3140710" cy="1732915"/>
                <wp:effectExtent l="0" t="0" r="21590" b="19685"/>
                <wp:wrapTight wrapText="bothSides">
                  <wp:wrapPolygon edited="0">
                    <wp:start x="0" y="0"/>
                    <wp:lineTo x="0" y="21608"/>
                    <wp:lineTo x="21617" y="21608"/>
                    <wp:lineTo x="216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89" w:rsidRDefault="00EC6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8.4pt;margin-top:52.45pt;width:247.3pt;height:13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" fillcolor="white [3201]" strokeweight=".5pt">
                <v:textbox>
                  <w:txbxContent>
                    <w:p w:rsidR="00EC6289" w:rsidRDefault="00EC628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63360" behindDoc="0" locked="0" layoutInCell="1" allowOverlap="1" wp14:anchorId="00E0C665" wp14:editId="4A27C118">
            <wp:simplePos x="0" y="0"/>
            <wp:positionH relativeFrom="column">
              <wp:posOffset>3407410</wp:posOffset>
            </wp:positionH>
            <wp:positionV relativeFrom="paragraph">
              <wp:posOffset>604106</wp:posOffset>
            </wp:positionV>
            <wp:extent cx="3115310" cy="169926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alc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289"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Tractography</w:t>
      </w:r>
      <w:proofErr w:type="spellEnd"/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analysis showed differences between </w:t>
      </w:r>
      <w:r w:rsidR="00597A55">
        <w:rPr>
          <w:rFonts w:ascii="Arial" w:hAnsi="Arial" w:cs="Arial"/>
          <w:sz w:val="20"/>
          <w:szCs w:val="20"/>
          <w:lang w:eastAsia="en-US"/>
        </w:rPr>
        <w:t>all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TBI groups and shams in the Corpus Callosum in the form of red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uced tracts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in the</w:t>
      </w:r>
      <w:r w:rsidR="00D026A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area adjacent to the injury and surprisingly near the splenium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 (Fig 1)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In close proximity to the initial TBI lesion (low slice </w:t>
      </w:r>
      <w:r w:rsidR="001717FF">
        <w:rPr>
          <w:rFonts w:ascii="Arial" w:hAnsi="Arial" w:cs="Arial"/>
          <w:sz w:val="20"/>
          <w:szCs w:val="20"/>
          <w:lang w:eastAsia="en-US"/>
        </w:rPr>
        <w:t>number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), </w:t>
      </w:r>
      <w:r w:rsidR="001717FF">
        <w:rPr>
          <w:rFonts w:ascii="Arial" w:hAnsi="Arial" w:cs="Arial"/>
          <w:sz w:val="20"/>
          <w:szCs w:val="20"/>
          <w:lang w:eastAsia="en-US"/>
        </w:rPr>
        <w:t xml:space="preserve">Corpus Callosum (Fig 2) and Neo-Cortex </w:t>
      </w:r>
      <w:r w:rsidR="00597A55">
        <w:rPr>
          <w:rFonts w:ascii="Arial" w:hAnsi="Arial" w:cs="Arial"/>
          <w:sz w:val="20"/>
          <w:szCs w:val="20"/>
          <w:lang w:eastAsia="en-US"/>
        </w:rPr>
        <w:t>d</w:t>
      </w:r>
      <w:r w:rsidR="00E70C68">
        <w:rPr>
          <w:rFonts w:ascii="Arial" w:hAnsi="Arial" w:cs="Arial"/>
          <w:sz w:val="20"/>
          <w:szCs w:val="20"/>
          <w:lang w:eastAsia="en-US"/>
        </w:rPr>
        <w:t xml:space="preserve">ata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suggest </w:t>
      </w:r>
      <w:r w:rsidR="00597A55">
        <w:rPr>
          <w:rFonts w:ascii="Arial" w:hAnsi="Arial" w:cs="Arial"/>
          <w:sz w:val="20"/>
          <w:szCs w:val="20"/>
          <w:lang w:eastAsia="en-US"/>
        </w:rPr>
        <w:t>differences between irradiat</w:t>
      </w:r>
      <w:r w:rsidR="001717FF">
        <w:rPr>
          <w:rFonts w:ascii="Arial" w:hAnsi="Arial" w:cs="Arial"/>
          <w:sz w:val="20"/>
          <w:szCs w:val="20"/>
          <w:lang w:eastAsia="en-US"/>
        </w:rPr>
        <w:t>ion groups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 without major impact </w:t>
      </w:r>
      <w:r w:rsidR="001717FF">
        <w:rPr>
          <w:rFonts w:ascii="Arial" w:hAnsi="Arial" w:cs="Arial"/>
          <w:sz w:val="20"/>
          <w:szCs w:val="20"/>
          <w:lang w:eastAsia="en-US"/>
        </w:rPr>
        <w:t>from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 exogenous </w:t>
      </w:r>
      <w:proofErr w:type="spellStart"/>
      <w:r w:rsidR="001717FF">
        <w:rPr>
          <w:rFonts w:ascii="Arial" w:hAnsi="Arial" w:cs="Arial"/>
          <w:sz w:val="20"/>
          <w:szCs w:val="20"/>
          <w:lang w:eastAsia="en-US"/>
        </w:rPr>
        <w:t>hMSC</w:t>
      </w:r>
      <w:proofErr w:type="spellEnd"/>
      <w:r w:rsidR="001717F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therapy. Interestingly, irradiation </w:t>
      </w:r>
      <w:r w:rsidR="001717FF">
        <w:rPr>
          <w:rFonts w:ascii="Arial" w:hAnsi="Arial" w:cs="Arial"/>
          <w:sz w:val="20"/>
          <w:szCs w:val="20"/>
          <w:lang w:eastAsia="en-US"/>
        </w:rPr>
        <w:t xml:space="preserve">appears to increase </w:t>
      </w:r>
      <w:r w:rsidR="00597A55">
        <w:rPr>
          <w:rFonts w:ascii="Arial" w:hAnsi="Arial" w:cs="Arial"/>
          <w:sz w:val="20"/>
          <w:szCs w:val="20"/>
          <w:lang w:eastAsia="en-US"/>
        </w:rPr>
        <w:t xml:space="preserve">FA </w:t>
      </w:r>
      <w:r w:rsidR="001717FF">
        <w:rPr>
          <w:rFonts w:ascii="Arial" w:hAnsi="Arial" w:cs="Arial"/>
          <w:sz w:val="20"/>
          <w:szCs w:val="20"/>
          <w:lang w:eastAsia="en-US"/>
        </w:rPr>
        <w:t xml:space="preserve">proximal to the injury either because of irradiation damage or reduced infiltration of migrating endogenous cells. Behavior measures (not shown) indicate more significant impacts from endogenous cells over exogenous cells [1]. </w:t>
      </w:r>
      <w:r w:rsidR="00DF694F" w:rsidRPr="00D026AB">
        <w:rPr>
          <w:rFonts w:ascii="Arial" w:hAnsi="Arial" w:cs="Arial"/>
          <w:sz w:val="20"/>
          <w:szCs w:val="20"/>
          <w:lang w:eastAsia="en-US"/>
        </w:rPr>
        <w:t>This study represents the first investigation of the efficacy of MSC treatment in TBI and the potential synergistic effect of MSC and NPC</w:t>
      </w:r>
      <w:r w:rsidR="00DF694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17FF">
        <w:rPr>
          <w:rFonts w:ascii="Arial" w:hAnsi="Arial" w:cs="Arial"/>
          <w:sz w:val="20"/>
          <w:szCs w:val="20"/>
          <w:lang w:eastAsia="en-US"/>
        </w:rPr>
        <w:t xml:space="preserve">on anisotropy </w:t>
      </w:r>
      <w:r w:rsidR="00DF694F">
        <w:rPr>
          <w:rFonts w:ascii="Arial" w:hAnsi="Arial" w:cs="Arial"/>
          <w:sz w:val="20"/>
          <w:szCs w:val="20"/>
          <w:lang w:eastAsia="en-US"/>
        </w:rPr>
        <w:t>using DTI</w:t>
      </w:r>
      <w:r w:rsidR="00DF694F" w:rsidRPr="00D026AB">
        <w:rPr>
          <w:rFonts w:ascii="Arial" w:hAnsi="Arial" w:cs="Arial"/>
          <w:sz w:val="20"/>
          <w:szCs w:val="20"/>
          <w:lang w:eastAsia="en-US"/>
        </w:rPr>
        <w:t>.</w:t>
      </w:r>
      <w:r w:rsidR="00DF694F" w:rsidRPr="00D026AB">
        <w:rPr>
          <w:rFonts w:ascii="Arial" w:hAnsi="Arial" w:cs="Arial"/>
          <w:sz w:val="20"/>
          <w:szCs w:val="20"/>
        </w:rPr>
        <w:tab/>
      </w:r>
    </w:p>
    <w:p w:rsidR="00FB4399" w:rsidRDefault="00E25473" w:rsidP="00EC6289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D026AB">
        <w:rPr>
          <w:rFonts w:ascii="Arial" w:hAnsi="Arial" w:cs="Arial"/>
          <w:b/>
          <w:sz w:val="20"/>
          <w:szCs w:val="20"/>
        </w:rPr>
        <w:t>Acknowledgements</w:t>
      </w:r>
    </w:p>
    <w:p w:rsidR="00A735A7" w:rsidRPr="00D026AB" w:rsidRDefault="006837D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F3C9D" wp14:editId="18354D06">
                <wp:simplePos x="0" y="0"/>
                <wp:positionH relativeFrom="margin">
                  <wp:posOffset>3408680</wp:posOffset>
                </wp:positionH>
                <wp:positionV relativeFrom="margin">
                  <wp:posOffset>7898765</wp:posOffset>
                </wp:positionV>
                <wp:extent cx="3140075" cy="757555"/>
                <wp:effectExtent l="0" t="0" r="2222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55" w:rsidRPr="00B26E0C" w:rsidRDefault="00597A55" w:rsidP="00597A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2A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 2.</w:t>
                            </w:r>
                            <w:proofErr w:type="gramEnd"/>
                            <w:r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6E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Fractiona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l Anisotropy (FA) values from slice-by-</w:t>
                            </w:r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slice analysis of the Corpus Callosum in the TBI (n=5) and Sham (n=3) rats. Statisti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cal significances are *p&lt;0.05 (T</w:t>
                            </w:r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ukey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’</w:t>
                            </w:r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Posthoc</w:t>
                            </w:r>
                            <w:proofErr w:type="spellEnd"/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) for comparisons with the Sham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and between bracketed groups</w:t>
                            </w:r>
                            <w:r w:rsidRPr="00597A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4pt;margin-top:621.95pt;width:247.25pt;height: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">
                <v:textbox>
                  <w:txbxContent>
                    <w:p w:rsidR="00597A55" w:rsidRPr="00B26E0C" w:rsidRDefault="00597A55" w:rsidP="00597A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42A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 2.</w:t>
                      </w:r>
                      <w:proofErr w:type="gramEnd"/>
                      <w:r w:rsidRPr="00B26E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26E0C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Fractiona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l Anisotropy (FA) values from slice-by-</w:t>
                      </w:r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slice analysis of the Corpus Callosum in the TBI (n=5) and Sham (n=3) rats. Statisti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cal significances are *p&lt;0.05 (T</w:t>
                      </w:r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ukey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’</w:t>
                      </w:r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Posthoc</w:t>
                      </w:r>
                      <w:proofErr w:type="spellEnd"/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) for comparisons with the Sham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and between bracketed groups</w:t>
                      </w:r>
                      <w:r w:rsidRPr="00597A55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6289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A735A7">
        <w:rPr>
          <w:rFonts w:ascii="Arial" w:eastAsia="Times New Roman" w:hAnsi="Arial" w:cs="Arial"/>
          <w:sz w:val="20"/>
          <w:szCs w:val="20"/>
          <w:lang w:eastAsia="en-US"/>
        </w:rPr>
        <w:t>This work was supported by the US Army (to CL) and UCGP (to SCG) from</w:t>
      </w:r>
      <w:r w:rsidR="00A735A7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the National High Magnetic Fi</w:t>
      </w:r>
      <w:r w:rsidR="00A735A7">
        <w:rPr>
          <w:rFonts w:ascii="Arial" w:eastAsia="Times New Roman" w:hAnsi="Arial" w:cs="Arial"/>
          <w:sz w:val="20"/>
          <w:szCs w:val="20"/>
          <w:lang w:eastAsia="en-US"/>
        </w:rPr>
        <w:t>eld Laboratory, which is fund</w:t>
      </w:r>
      <w:r w:rsidR="00A735A7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ed by </w:t>
      </w:r>
      <w:r w:rsidR="00A735A7">
        <w:rPr>
          <w:rFonts w:ascii="Arial" w:eastAsia="Times New Roman" w:hAnsi="Arial" w:cs="Arial"/>
          <w:sz w:val="20"/>
          <w:szCs w:val="20"/>
          <w:lang w:eastAsia="en-US"/>
        </w:rPr>
        <w:t>the NSF</w:t>
      </w:r>
      <w:r w:rsidR="00A735A7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735A7">
        <w:rPr>
          <w:rFonts w:ascii="Arial" w:eastAsia="Times New Roman" w:hAnsi="Arial" w:cs="Arial"/>
          <w:sz w:val="20"/>
          <w:szCs w:val="20"/>
          <w:lang w:eastAsia="en-US"/>
        </w:rPr>
        <w:t xml:space="preserve">(DMR-1157490) and </w:t>
      </w:r>
      <w:r w:rsidR="00A735A7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A735A7">
        <w:rPr>
          <w:rFonts w:ascii="Arial" w:eastAsia="Times New Roman" w:hAnsi="Arial" w:cs="Arial"/>
          <w:sz w:val="20"/>
          <w:szCs w:val="20"/>
          <w:lang w:eastAsia="en-US"/>
        </w:rPr>
        <w:t xml:space="preserve">e of Florida.  </w:t>
      </w:r>
    </w:p>
    <w:p w:rsidR="00E25473" w:rsidRPr="00D026AB" w:rsidRDefault="00E25473" w:rsidP="00EC6289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D026AB">
        <w:rPr>
          <w:rFonts w:ascii="Arial" w:hAnsi="Arial" w:cs="Arial"/>
          <w:b/>
          <w:sz w:val="20"/>
          <w:szCs w:val="20"/>
        </w:rPr>
        <w:t>References</w:t>
      </w:r>
    </w:p>
    <w:p w:rsidR="0000539E" w:rsidRPr="006B3824" w:rsidRDefault="007A1082" w:rsidP="006837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C6289">
        <w:rPr>
          <w:rFonts w:ascii="Arial" w:hAnsi="Arial" w:cs="Arial"/>
          <w:sz w:val="20"/>
          <w:szCs w:val="20"/>
          <w:lang w:eastAsia="en-US"/>
        </w:rPr>
        <w:t xml:space="preserve">[1]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Darkazalli</w:t>
      </w:r>
      <w:proofErr w:type="spellEnd"/>
      <w:r w:rsidR="00EC6289">
        <w:rPr>
          <w:rFonts w:ascii="Arial" w:hAnsi="Arial" w:cs="Arial"/>
          <w:sz w:val="20"/>
          <w:szCs w:val="20"/>
          <w:lang w:eastAsia="en-US"/>
        </w:rPr>
        <w:t>,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EC6289">
        <w:rPr>
          <w:rFonts w:ascii="Arial" w:hAnsi="Arial" w:cs="Arial"/>
          <w:sz w:val="20"/>
          <w:szCs w:val="20"/>
          <w:lang w:eastAsia="en-US"/>
        </w:rPr>
        <w:t>.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,</w:t>
      </w:r>
      <w:r w:rsidR="00EC628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C6289" w:rsidRPr="00EC6289">
        <w:rPr>
          <w:rFonts w:ascii="Arial" w:hAnsi="Arial" w:cs="Arial"/>
          <w:i/>
          <w:sz w:val="20"/>
          <w:szCs w:val="20"/>
          <w:lang w:eastAsia="en-US"/>
        </w:rPr>
        <w:t>et al</w:t>
      </w:r>
      <w:r w:rsidR="00EC6289">
        <w:rPr>
          <w:rFonts w:ascii="Arial" w:hAnsi="Arial" w:cs="Arial"/>
          <w:sz w:val="20"/>
          <w:szCs w:val="20"/>
          <w:lang w:eastAsia="en-US"/>
        </w:rPr>
        <w:t xml:space="preserve">., 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 xml:space="preserve">J. </w:t>
      </w:r>
      <w:proofErr w:type="spellStart"/>
      <w:r w:rsidR="00D026AB" w:rsidRPr="00D026AB">
        <w:rPr>
          <w:rFonts w:ascii="Arial" w:hAnsi="Arial" w:cs="Arial"/>
          <w:sz w:val="20"/>
          <w:szCs w:val="20"/>
          <w:lang w:eastAsia="en-US"/>
        </w:rPr>
        <w:t>Neurotr</w:t>
      </w:r>
      <w:bookmarkStart w:id="0" w:name="_GoBack"/>
      <w:bookmarkEnd w:id="0"/>
      <w:r w:rsidR="00D026AB" w:rsidRPr="00D026AB">
        <w:rPr>
          <w:rFonts w:ascii="Arial" w:hAnsi="Arial" w:cs="Arial"/>
          <w:sz w:val="20"/>
          <w:szCs w:val="20"/>
          <w:lang w:eastAsia="en-US"/>
        </w:rPr>
        <w:t>auma</w:t>
      </w:r>
      <w:proofErr w:type="spellEnd"/>
      <w:r w:rsidR="00EC6289">
        <w:rPr>
          <w:rFonts w:ascii="Arial" w:hAnsi="Arial" w:cs="Arial"/>
          <w:sz w:val="20"/>
          <w:szCs w:val="20"/>
          <w:lang w:eastAsia="en-US"/>
        </w:rPr>
        <w:t>, i</w:t>
      </w:r>
      <w:r w:rsidR="00D026AB" w:rsidRPr="00D026AB">
        <w:rPr>
          <w:rFonts w:ascii="Arial" w:hAnsi="Arial" w:cs="Arial"/>
          <w:sz w:val="20"/>
          <w:szCs w:val="20"/>
          <w:lang w:eastAsia="en-US"/>
        </w:rPr>
        <w:t>n review</w:t>
      </w:r>
      <w:r w:rsidR="00EC628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EC6289" w:rsidRPr="00EC6289">
        <w:rPr>
          <w:rFonts w:ascii="Arial" w:hAnsi="Arial" w:cs="Arial"/>
          <w:sz w:val="20"/>
          <w:szCs w:val="20"/>
          <w:lang w:eastAsia="en-US"/>
        </w:rPr>
        <w:t>(2105).</w:t>
      </w:r>
      <w:r w:rsidR="00365BA5">
        <w:rPr>
          <w:noProof/>
          <w:lang w:eastAsia="en-US"/>
        </w:rPr>
        <w:t xml:space="preserve">      </w:t>
      </w:r>
    </w:p>
    <w:sectPr w:rsidR="0000539E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0" w:rsidRDefault="003319A0">
      <w:r>
        <w:separator/>
      </w:r>
    </w:p>
  </w:endnote>
  <w:endnote w:type="continuationSeparator" w:id="0">
    <w:p w:rsidR="003319A0" w:rsidRDefault="003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0" w:rsidRDefault="003319A0">
      <w:r>
        <w:separator/>
      </w:r>
    </w:p>
  </w:footnote>
  <w:footnote w:type="continuationSeparator" w:id="0">
    <w:p w:rsidR="003319A0" w:rsidRDefault="0033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DC589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1970" cy="627380"/>
          <wp:effectExtent l="0" t="0" r="0" b="1270"/>
          <wp:docPr id="3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539E"/>
    <w:rsid w:val="00020C55"/>
    <w:rsid w:val="00037B62"/>
    <w:rsid w:val="0004008C"/>
    <w:rsid w:val="000558AC"/>
    <w:rsid w:val="000736B9"/>
    <w:rsid w:val="000825F8"/>
    <w:rsid w:val="00085670"/>
    <w:rsid w:val="000A1716"/>
    <w:rsid w:val="000A59A8"/>
    <w:rsid w:val="000C5B72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717FF"/>
    <w:rsid w:val="001836FA"/>
    <w:rsid w:val="0018419E"/>
    <w:rsid w:val="0018697C"/>
    <w:rsid w:val="00187023"/>
    <w:rsid w:val="001B51A1"/>
    <w:rsid w:val="001D59E4"/>
    <w:rsid w:val="001E1A4D"/>
    <w:rsid w:val="001E526E"/>
    <w:rsid w:val="001E5ECF"/>
    <w:rsid w:val="001E6BF4"/>
    <w:rsid w:val="00206915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19A0"/>
    <w:rsid w:val="00334CEB"/>
    <w:rsid w:val="003560D2"/>
    <w:rsid w:val="00363055"/>
    <w:rsid w:val="00363C8F"/>
    <w:rsid w:val="00365BA5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E1A6A"/>
    <w:rsid w:val="004F160B"/>
    <w:rsid w:val="005034C0"/>
    <w:rsid w:val="00511F7E"/>
    <w:rsid w:val="005145DF"/>
    <w:rsid w:val="005173CE"/>
    <w:rsid w:val="0053142A"/>
    <w:rsid w:val="005452B9"/>
    <w:rsid w:val="00563D84"/>
    <w:rsid w:val="00583BC3"/>
    <w:rsid w:val="00597A55"/>
    <w:rsid w:val="005A1B84"/>
    <w:rsid w:val="005C4422"/>
    <w:rsid w:val="005C4667"/>
    <w:rsid w:val="005C5648"/>
    <w:rsid w:val="00625028"/>
    <w:rsid w:val="00627F7D"/>
    <w:rsid w:val="006612DC"/>
    <w:rsid w:val="00672D41"/>
    <w:rsid w:val="006837D8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87808"/>
    <w:rsid w:val="007A1082"/>
    <w:rsid w:val="007B7B64"/>
    <w:rsid w:val="007C0813"/>
    <w:rsid w:val="007D3105"/>
    <w:rsid w:val="007E2F28"/>
    <w:rsid w:val="00842AB0"/>
    <w:rsid w:val="00862CB5"/>
    <w:rsid w:val="00883638"/>
    <w:rsid w:val="008A1D84"/>
    <w:rsid w:val="008B05B8"/>
    <w:rsid w:val="008B6474"/>
    <w:rsid w:val="008C5788"/>
    <w:rsid w:val="008E5BC5"/>
    <w:rsid w:val="008E5C85"/>
    <w:rsid w:val="008F35CC"/>
    <w:rsid w:val="008F6083"/>
    <w:rsid w:val="009648AC"/>
    <w:rsid w:val="0097530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30955"/>
    <w:rsid w:val="00A43CDE"/>
    <w:rsid w:val="00A55035"/>
    <w:rsid w:val="00A735A7"/>
    <w:rsid w:val="00A758E6"/>
    <w:rsid w:val="00A94FC4"/>
    <w:rsid w:val="00AC297F"/>
    <w:rsid w:val="00AC4AFE"/>
    <w:rsid w:val="00AD181E"/>
    <w:rsid w:val="00AD3CDD"/>
    <w:rsid w:val="00AE142B"/>
    <w:rsid w:val="00AF081A"/>
    <w:rsid w:val="00AF30B5"/>
    <w:rsid w:val="00AF7C63"/>
    <w:rsid w:val="00AF7CDB"/>
    <w:rsid w:val="00B00CDB"/>
    <w:rsid w:val="00B25D4D"/>
    <w:rsid w:val="00B26E0C"/>
    <w:rsid w:val="00B45112"/>
    <w:rsid w:val="00B5585D"/>
    <w:rsid w:val="00B71405"/>
    <w:rsid w:val="00B75DC9"/>
    <w:rsid w:val="00B81748"/>
    <w:rsid w:val="00B94321"/>
    <w:rsid w:val="00B95FCB"/>
    <w:rsid w:val="00B96080"/>
    <w:rsid w:val="00BA00BE"/>
    <w:rsid w:val="00BA6E60"/>
    <w:rsid w:val="00BA7096"/>
    <w:rsid w:val="00BD721E"/>
    <w:rsid w:val="00BE2257"/>
    <w:rsid w:val="00C02989"/>
    <w:rsid w:val="00C05768"/>
    <w:rsid w:val="00C076C7"/>
    <w:rsid w:val="00C13313"/>
    <w:rsid w:val="00C75A17"/>
    <w:rsid w:val="00C81666"/>
    <w:rsid w:val="00C83434"/>
    <w:rsid w:val="00C83EAA"/>
    <w:rsid w:val="00C93F0D"/>
    <w:rsid w:val="00CA2976"/>
    <w:rsid w:val="00CA6625"/>
    <w:rsid w:val="00CB0819"/>
    <w:rsid w:val="00CB1A7C"/>
    <w:rsid w:val="00CB4058"/>
    <w:rsid w:val="00CC5B40"/>
    <w:rsid w:val="00CE3F90"/>
    <w:rsid w:val="00D01F6B"/>
    <w:rsid w:val="00D026AB"/>
    <w:rsid w:val="00D0313F"/>
    <w:rsid w:val="00D07879"/>
    <w:rsid w:val="00D1756D"/>
    <w:rsid w:val="00D65CBB"/>
    <w:rsid w:val="00D67B56"/>
    <w:rsid w:val="00D851F6"/>
    <w:rsid w:val="00DC5895"/>
    <w:rsid w:val="00DD44E5"/>
    <w:rsid w:val="00DE3216"/>
    <w:rsid w:val="00DF694F"/>
    <w:rsid w:val="00E04B24"/>
    <w:rsid w:val="00E07ED9"/>
    <w:rsid w:val="00E25473"/>
    <w:rsid w:val="00E3528A"/>
    <w:rsid w:val="00E411D1"/>
    <w:rsid w:val="00E43BB4"/>
    <w:rsid w:val="00E5095B"/>
    <w:rsid w:val="00E57E61"/>
    <w:rsid w:val="00E60509"/>
    <w:rsid w:val="00E70C68"/>
    <w:rsid w:val="00EA1E33"/>
    <w:rsid w:val="00EB489A"/>
    <w:rsid w:val="00EB515D"/>
    <w:rsid w:val="00EC6289"/>
    <w:rsid w:val="00F169A7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97D8D-BEEB-4984-805F-F2D1AA44E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Samuel Grant</dc:creator>
  <cp:lastModifiedBy>Anke Toth</cp:lastModifiedBy>
  <cp:revision>4</cp:revision>
  <cp:lastPrinted>2015-07-15T21:10:00Z</cp:lastPrinted>
  <dcterms:created xsi:type="dcterms:W3CDTF">2016-02-10T19:47:00Z</dcterms:created>
  <dcterms:modified xsi:type="dcterms:W3CDTF">2016-02-10T19:48:00Z</dcterms:modified>
</cp:coreProperties>
</file>