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8E" w:rsidRPr="00AA19D9" w:rsidRDefault="005817B6" w:rsidP="00AA19D9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Quantitative Imaging of </w:t>
      </w:r>
      <w:r w:rsidR="00E06E04">
        <w:rPr>
          <w:rFonts w:ascii="Arial" w:hAnsi="Arial" w:cs="Arial"/>
          <w:b/>
        </w:rPr>
        <w:t>Sodium</w:t>
      </w:r>
      <w:r>
        <w:rPr>
          <w:rFonts w:ascii="Arial" w:hAnsi="Arial" w:cs="Arial"/>
          <w:b/>
        </w:rPr>
        <w:t xml:space="preserve"> </w:t>
      </w:r>
      <w:r w:rsidR="006E5C15">
        <w:rPr>
          <w:rFonts w:ascii="Arial" w:hAnsi="Arial" w:cs="Arial"/>
          <w:b/>
        </w:rPr>
        <w:t>d</w:t>
      </w:r>
      <w:r w:rsidR="00E06E04">
        <w:rPr>
          <w:rFonts w:ascii="Arial" w:hAnsi="Arial" w:cs="Arial"/>
          <w:b/>
        </w:rPr>
        <w:t>uring</w:t>
      </w:r>
      <w:r>
        <w:rPr>
          <w:rFonts w:ascii="Arial" w:hAnsi="Arial" w:cs="Arial"/>
          <w:b/>
        </w:rPr>
        <w:t xml:space="preserve"> Migraine Progression</w:t>
      </w:r>
    </w:p>
    <w:p w:rsidR="00E06E04" w:rsidRDefault="00E06E04" w:rsidP="00E06E04">
      <w:pPr>
        <w:tabs>
          <w:tab w:val="left" w:pos="360"/>
        </w:tabs>
        <w:rPr>
          <w:rFonts w:ascii="Arial" w:hAnsi="Arial" w:cs="Arial"/>
          <w:color w:val="000000"/>
          <w:sz w:val="20"/>
          <w:szCs w:val="20"/>
        </w:rPr>
      </w:pPr>
    </w:p>
    <w:p w:rsidR="00E06E04" w:rsidRPr="006B3824" w:rsidRDefault="00C35E39" w:rsidP="00E06E04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061308">
        <w:rPr>
          <w:rFonts w:ascii="Arial" w:hAnsi="Arial" w:cs="Arial"/>
          <w:color w:val="000000"/>
          <w:sz w:val="20"/>
          <w:szCs w:val="20"/>
        </w:rPr>
        <w:t>Aba</w:t>
      </w:r>
      <w:r>
        <w:rPr>
          <w:rFonts w:ascii="Arial" w:hAnsi="Arial" w:cs="Arial"/>
          <w:color w:val="000000"/>
          <w:sz w:val="20"/>
          <w:szCs w:val="20"/>
        </w:rPr>
        <w:t>d</w:t>
      </w:r>
      <w:r w:rsidR="00E06E04">
        <w:rPr>
          <w:rFonts w:ascii="Arial" w:hAnsi="Arial" w:cs="Arial"/>
          <w:color w:val="000000"/>
          <w:sz w:val="20"/>
          <w:szCs w:val="20"/>
        </w:rPr>
        <w:t>, N.</w:t>
      </w:r>
      <w:r w:rsidR="006E5C15">
        <w:rPr>
          <w:rFonts w:ascii="Arial" w:hAnsi="Arial" w:cs="Arial"/>
          <w:color w:val="000000"/>
          <w:sz w:val="20"/>
          <w:szCs w:val="20"/>
        </w:rPr>
        <w:t>;</w:t>
      </w:r>
      <w:r w:rsidR="005A17CB">
        <w:rPr>
          <w:rFonts w:ascii="Arial" w:hAnsi="Arial" w:cs="Arial"/>
          <w:color w:val="000000"/>
          <w:sz w:val="20"/>
          <w:szCs w:val="20"/>
        </w:rPr>
        <w:t xml:space="preserve"> </w:t>
      </w:r>
      <w:r w:rsidR="00E06E04">
        <w:rPr>
          <w:rFonts w:ascii="Arial" w:hAnsi="Arial" w:cs="Arial"/>
          <w:color w:val="000000"/>
          <w:sz w:val="20"/>
          <w:szCs w:val="20"/>
        </w:rPr>
        <w:t>Grant, S.C.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 w:rsidR="005A17CB">
        <w:rPr>
          <w:rFonts w:ascii="Arial" w:hAnsi="Arial" w:cs="Arial"/>
          <w:color w:val="000000"/>
          <w:sz w:val="20"/>
          <w:szCs w:val="20"/>
        </w:rPr>
        <w:t xml:space="preserve">Florida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="005A17CB">
        <w:rPr>
          <w:rFonts w:ascii="Arial" w:hAnsi="Arial" w:cs="Arial"/>
          <w:color w:val="000000"/>
          <w:sz w:val="20"/>
          <w:szCs w:val="20"/>
        </w:rPr>
        <w:t xml:space="preserve">tate 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="005A17CB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E06E04">
        <w:rPr>
          <w:rFonts w:ascii="Arial" w:hAnsi="Arial" w:cs="Arial"/>
          <w:color w:val="000000"/>
          <w:sz w:val="20"/>
          <w:szCs w:val="20"/>
        </w:rPr>
        <w:t xml:space="preserve">Chemical &amp; Biomedical </w:t>
      </w:r>
      <w:r>
        <w:rPr>
          <w:rFonts w:ascii="Arial" w:hAnsi="Arial" w:cs="Arial"/>
          <w:color w:val="000000"/>
          <w:sz w:val="20"/>
          <w:szCs w:val="20"/>
        </w:rPr>
        <w:t>Engineering</w:t>
      </w:r>
      <w:r w:rsidR="005A17CB">
        <w:rPr>
          <w:rFonts w:ascii="Arial" w:hAnsi="Arial" w:cs="Arial"/>
          <w:color w:val="000000"/>
          <w:sz w:val="20"/>
          <w:szCs w:val="20"/>
        </w:rPr>
        <w:t>, NHMFL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="00E06E04">
        <w:rPr>
          <w:rFonts w:ascii="Arial" w:hAnsi="Arial" w:cs="Arial"/>
          <w:color w:val="000000"/>
          <w:sz w:val="20"/>
          <w:szCs w:val="20"/>
        </w:rPr>
        <w:t xml:space="preserve">; </w:t>
      </w:r>
      <w:r w:rsidRPr="00061308">
        <w:rPr>
          <w:rFonts w:ascii="Arial" w:hAnsi="Arial" w:cs="Arial"/>
          <w:color w:val="000000"/>
          <w:sz w:val="20"/>
          <w:szCs w:val="20"/>
        </w:rPr>
        <w:t>Rosenber</w:t>
      </w:r>
      <w:r w:rsidR="00E06E04">
        <w:rPr>
          <w:rFonts w:ascii="Arial" w:hAnsi="Arial" w:cs="Arial"/>
          <w:color w:val="000000"/>
          <w:sz w:val="20"/>
          <w:szCs w:val="20"/>
        </w:rPr>
        <w:t>g, J.T. (NHMFL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="006E5C15">
        <w:rPr>
          <w:rFonts w:ascii="Arial" w:hAnsi="Arial" w:cs="Arial"/>
          <w:color w:val="000000"/>
          <w:sz w:val="20"/>
          <w:szCs w:val="20"/>
        </w:rPr>
        <w:t xml:space="preserve"> and</w:t>
      </w:r>
      <w:r w:rsidRPr="0006130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54761">
        <w:rPr>
          <w:rFonts w:ascii="Arial" w:hAnsi="Arial" w:cs="Arial"/>
          <w:color w:val="000000"/>
          <w:sz w:val="20"/>
          <w:szCs w:val="20"/>
          <w:u w:val="single"/>
        </w:rPr>
        <w:t>Harringto</w:t>
      </w:r>
      <w:r>
        <w:rPr>
          <w:rFonts w:ascii="Arial" w:hAnsi="Arial" w:cs="Arial"/>
          <w:color w:val="000000"/>
          <w:sz w:val="20"/>
          <w:szCs w:val="20"/>
          <w:u w:val="single"/>
        </w:rPr>
        <w:t>n</w:t>
      </w:r>
      <w:r w:rsidR="00E06E04">
        <w:rPr>
          <w:rFonts w:ascii="Arial" w:hAnsi="Arial" w:cs="Arial"/>
          <w:color w:val="000000"/>
          <w:sz w:val="20"/>
          <w:szCs w:val="20"/>
          <w:u w:val="single"/>
        </w:rPr>
        <w:t>, M.G.</w:t>
      </w:r>
      <w:r w:rsidR="00E06E04">
        <w:rPr>
          <w:rFonts w:ascii="Arial" w:hAnsi="Arial" w:cs="Arial"/>
          <w:color w:val="000000"/>
          <w:sz w:val="20"/>
          <w:szCs w:val="20"/>
        </w:rPr>
        <w:t xml:space="preserve"> (</w:t>
      </w:r>
      <w:r w:rsidRPr="00061308">
        <w:rPr>
          <w:rFonts w:ascii="Arial" w:hAnsi="Arial" w:cs="Arial"/>
          <w:color w:val="000000"/>
          <w:sz w:val="20"/>
          <w:szCs w:val="20"/>
          <w:shd w:val="clear" w:color="auto" w:fill="FFFFFF"/>
        </w:rPr>
        <w:t>Huntington Medical Research Institutes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E06E04">
        <w:rPr>
          <w:rFonts w:ascii="Arial" w:hAnsi="Arial" w:cs="Arial"/>
          <w:color w:val="000000"/>
          <w:sz w:val="20"/>
          <w:szCs w:val="20"/>
          <w:shd w:val="clear" w:color="auto" w:fill="FFFFFF"/>
        </w:rPr>
        <w:t>Neurosciences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E06E04" w:rsidRPr="00E06E04">
        <w:rPr>
          <w:rFonts w:ascii="Arial" w:hAnsi="Arial" w:cs="Arial"/>
          <w:sz w:val="20"/>
          <w:szCs w:val="20"/>
        </w:rPr>
        <w:t xml:space="preserve"> </w:t>
      </w:r>
    </w:p>
    <w:p w:rsidR="00E06E04" w:rsidRPr="006B3824" w:rsidRDefault="00E06E04" w:rsidP="00E06E04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E06E04" w:rsidRDefault="00E06E04" w:rsidP="00E06E04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E06E04" w:rsidRDefault="00E06E04" w:rsidP="00E06E04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</w:p>
    <w:p w:rsidR="004B5227" w:rsidRDefault="0076592F" w:rsidP="006E5C15">
      <w:pPr>
        <w:pStyle w:val="NormalWeb"/>
        <w:spacing w:before="0" w:beforeAutospacing="0" w:after="0" w:afterAutospacing="0"/>
        <w:ind w:firstLine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Alterations of sodium concentration have been reported in </w:t>
      </w:r>
      <w:r w:rsidR="005B21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lumbar CSF with the onset of migraine [1]. </w:t>
      </w:r>
      <w:r w:rsidR="00C21E8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purpose of this study was to evaluate </w:t>
      </w:r>
      <w:r w:rsidR="00C21E8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in vivo </w:t>
      </w:r>
      <w:r w:rsidR="00C21E86" w:rsidRPr="00B61FB9"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r w:rsidR="00C21E86" w:rsidRPr="00B61FB9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23</w:t>
      </w:r>
      <w:r w:rsidR="00D374F1">
        <w:rPr>
          <w:rFonts w:ascii="Arial" w:hAnsi="Arial" w:cs="Arial"/>
          <w:color w:val="000000"/>
          <w:sz w:val="20"/>
          <w:szCs w:val="20"/>
          <w:shd w:val="clear" w:color="auto" w:fill="FFFFFF"/>
        </w:rPr>
        <w:t>Na) fluxes in the brain using rat models</w:t>
      </w:r>
      <w:r w:rsidR="005B21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Therefore, the </w:t>
      </w:r>
      <w:r w:rsidR="004337E8">
        <w:rPr>
          <w:rFonts w:ascii="Arial" w:hAnsi="Arial" w:cs="Arial"/>
          <w:color w:val="000000"/>
          <w:sz w:val="20"/>
          <w:szCs w:val="20"/>
          <w:shd w:val="clear" w:color="auto" w:fill="FFFFFF"/>
        </w:rPr>
        <w:t>ultra-</w:t>
      </w:r>
      <w:r w:rsidR="00F0049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high fields of 21.1 T to </w:t>
      </w:r>
      <w:r w:rsidR="005B21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assess </w:t>
      </w:r>
      <w:r w:rsidR="004337E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alterations in </w:t>
      </w:r>
      <w:r w:rsidR="00DA582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bulk </w:t>
      </w:r>
      <w:r w:rsidR="004337E8">
        <w:rPr>
          <w:rFonts w:ascii="Arial" w:hAnsi="Arial" w:cs="Arial"/>
          <w:color w:val="000000"/>
          <w:sz w:val="20"/>
          <w:szCs w:val="20"/>
          <w:shd w:val="clear" w:color="auto" w:fill="FFFFFF"/>
        </w:rPr>
        <w:t>sodium induced by migraine</w:t>
      </w:r>
      <w:r w:rsidR="005B21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at higher resolutions that previously achieved</w:t>
      </w:r>
      <w:r w:rsidR="002608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3D scans </w:t>
      </w:r>
      <w:r w:rsidR="005B21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at 1-mm isotropic resolution </w:t>
      </w:r>
      <w:r w:rsidR="002608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were acquired to </w:t>
      </w:r>
      <w:r w:rsidR="005B21F0">
        <w:rPr>
          <w:rFonts w:ascii="Arial" w:hAnsi="Arial" w:cs="Arial"/>
          <w:color w:val="000000"/>
          <w:sz w:val="20"/>
          <w:szCs w:val="20"/>
          <w:shd w:val="clear" w:color="auto" w:fill="FFFFFF"/>
        </w:rPr>
        <w:t>minimize volume averaging and</w:t>
      </w:r>
      <w:r w:rsidR="002608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isolate regions of interest </w:t>
      </w:r>
      <w:r w:rsidR="005B21F0">
        <w:rPr>
          <w:rFonts w:ascii="Arial" w:hAnsi="Arial" w:cs="Arial"/>
          <w:color w:val="000000"/>
          <w:sz w:val="20"/>
          <w:szCs w:val="20"/>
          <w:shd w:val="clear" w:color="auto" w:fill="FFFFFF"/>
        </w:rPr>
        <w:t>related to sodium changes with migraine onset.</w:t>
      </w:r>
      <w:r w:rsidR="002608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FC2EBF" w:rsidRPr="00FC2EBF" w:rsidRDefault="00FC2EBF" w:rsidP="00FC2EBF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524EE" w:rsidRDefault="002524EE" w:rsidP="00E06E04">
      <w:pPr>
        <w:tabs>
          <w:tab w:val="left" w:pos="360"/>
        </w:tabs>
      </w:pPr>
      <w:r w:rsidRPr="006B3824">
        <w:rPr>
          <w:rFonts w:ascii="Arial" w:hAnsi="Arial" w:cs="Arial"/>
          <w:b/>
          <w:sz w:val="20"/>
          <w:szCs w:val="20"/>
        </w:rPr>
        <w:t>Experimental</w:t>
      </w:r>
      <w:r w:rsidR="00734E94">
        <w:rPr>
          <w:rFonts w:ascii="Arial" w:hAnsi="Arial" w:cs="Arial"/>
          <w:b/>
          <w:sz w:val="20"/>
          <w:szCs w:val="20"/>
        </w:rPr>
        <w:t xml:space="preserve"> </w:t>
      </w:r>
    </w:p>
    <w:p w:rsidR="00A05BAD" w:rsidRPr="00A05BAD" w:rsidRDefault="00233927" w:rsidP="006E5C15">
      <w:pPr>
        <w:ind w:firstLine="360"/>
        <w:rPr>
          <w:rFonts w:ascii="Arial" w:hAnsi="Arial" w:cs="Arial"/>
          <w:sz w:val="20"/>
          <w:szCs w:val="20"/>
          <w:u w:val="single"/>
        </w:rPr>
      </w:pPr>
      <w:r w:rsidRPr="00061308">
        <w:rPr>
          <w:rFonts w:ascii="Arial" w:hAnsi="Arial" w:cs="Arial"/>
          <w:sz w:val="20"/>
          <w:szCs w:val="20"/>
        </w:rPr>
        <w:t xml:space="preserve">All scans were performed using the </w:t>
      </w:r>
      <w:r w:rsidRPr="00061308">
        <w:rPr>
          <w:rFonts w:ascii="Arial" w:hAnsi="Arial" w:cs="Arial"/>
          <w:sz w:val="20"/>
          <w:szCs w:val="20"/>
          <w:shd w:val="clear" w:color="auto" w:fill="FFFFFF"/>
        </w:rPr>
        <w:t xml:space="preserve">21.1-T, </w:t>
      </w:r>
      <w:r w:rsidRPr="00061308">
        <w:rPr>
          <w:rFonts w:ascii="Arial" w:hAnsi="Arial" w:cs="Arial"/>
          <w:sz w:val="20"/>
          <w:szCs w:val="20"/>
        </w:rPr>
        <w:t>900-MHz ultra-wide</w:t>
      </w:r>
      <w:r w:rsidR="001C5FBE">
        <w:rPr>
          <w:rFonts w:ascii="Arial" w:hAnsi="Arial" w:cs="Arial"/>
          <w:sz w:val="20"/>
          <w:szCs w:val="20"/>
        </w:rPr>
        <w:t xml:space="preserve"> </w:t>
      </w:r>
      <w:r w:rsidRPr="00061308">
        <w:rPr>
          <w:rFonts w:ascii="Arial" w:hAnsi="Arial" w:cs="Arial"/>
          <w:sz w:val="20"/>
          <w:szCs w:val="20"/>
        </w:rPr>
        <w:t xml:space="preserve">bore </w:t>
      </w:r>
      <w:r w:rsidRPr="00061308">
        <w:rPr>
          <w:rFonts w:ascii="Arial" w:hAnsi="Arial" w:cs="Arial"/>
          <w:sz w:val="20"/>
          <w:szCs w:val="20"/>
          <w:shd w:val="clear" w:color="auto" w:fill="FFFFFF"/>
        </w:rPr>
        <w:t xml:space="preserve">at the National High Magnetic Field Laboratory, Tallahassee, FL. </w:t>
      </w:r>
      <w:r w:rsidRPr="00061308">
        <w:rPr>
          <w:rFonts w:ascii="Arial" w:hAnsi="Arial" w:cs="Arial"/>
          <w:sz w:val="20"/>
          <w:szCs w:val="20"/>
        </w:rPr>
        <w:t xml:space="preserve">Animal procedures were approved by the Institutional Animal Care and Use Committee at the Florida State University and the Huntington Medical Research Institutes (HMRI) in Pasadena, CA. </w:t>
      </w:r>
      <w:r>
        <w:rPr>
          <w:rFonts w:ascii="Arial" w:hAnsi="Arial" w:cs="Arial"/>
          <w:sz w:val="20"/>
          <w:szCs w:val="20"/>
        </w:rPr>
        <w:t>A</w:t>
      </w:r>
      <w:r w:rsidRPr="00061308">
        <w:rPr>
          <w:rFonts w:ascii="Arial" w:hAnsi="Arial" w:cs="Arial"/>
          <w:sz w:val="20"/>
          <w:szCs w:val="20"/>
        </w:rPr>
        <w:t xml:space="preserve">fter baseline </w:t>
      </w:r>
      <w:r>
        <w:rPr>
          <w:rFonts w:ascii="Arial" w:hAnsi="Arial" w:cs="Arial"/>
          <w:sz w:val="20"/>
          <w:szCs w:val="20"/>
        </w:rPr>
        <w:t>scans</w:t>
      </w:r>
      <w:r w:rsidR="00E06E04">
        <w:rPr>
          <w:rFonts w:ascii="Arial" w:hAnsi="Arial" w:cs="Arial"/>
          <w:sz w:val="20"/>
          <w:szCs w:val="20"/>
        </w:rPr>
        <w:t>, 17 an</w:t>
      </w:r>
      <w:r w:rsidRPr="00061308">
        <w:rPr>
          <w:rFonts w:ascii="Arial" w:hAnsi="Arial" w:cs="Arial"/>
          <w:sz w:val="20"/>
          <w:szCs w:val="20"/>
        </w:rPr>
        <w:t>esthetized Sprague-Dawley male rats were administered</w:t>
      </w:r>
      <w:r>
        <w:rPr>
          <w:rFonts w:ascii="Arial" w:hAnsi="Arial" w:cs="Arial"/>
          <w:sz w:val="20"/>
          <w:szCs w:val="20"/>
        </w:rPr>
        <w:t xml:space="preserve"> </w:t>
      </w:r>
      <w:r w:rsidRPr="00061308">
        <w:rPr>
          <w:rFonts w:ascii="Arial" w:hAnsi="Arial" w:cs="Arial"/>
          <w:i/>
          <w:sz w:val="20"/>
          <w:szCs w:val="20"/>
        </w:rPr>
        <w:t>in situ</w:t>
      </w:r>
      <w:r w:rsidRPr="00061308">
        <w:rPr>
          <w:rFonts w:ascii="Arial" w:hAnsi="Arial" w:cs="Arial"/>
          <w:sz w:val="20"/>
          <w:szCs w:val="20"/>
        </w:rPr>
        <w:t xml:space="preserve"> an intra-peritoneal injection of either nitroglycerine (NTG, N=11) to induce migraine or saline (N=6) to serve as a control.</w:t>
      </w:r>
      <w:r w:rsidRPr="00233927">
        <w:rPr>
          <w:rFonts w:ascii="Arial" w:hAnsi="Arial" w:cs="Arial"/>
          <w:b/>
        </w:rPr>
        <w:t xml:space="preserve"> </w:t>
      </w:r>
      <w:r w:rsidRPr="00233927">
        <w:rPr>
          <w:rFonts w:ascii="Arial" w:hAnsi="Arial" w:cs="Arial"/>
          <w:sz w:val="20"/>
          <w:szCs w:val="20"/>
        </w:rPr>
        <w:t xml:space="preserve">2D sodium scans were acquired in 21 min using </w:t>
      </w:r>
      <w:r w:rsidR="00DA582B" w:rsidRPr="00233927">
        <w:rPr>
          <w:rFonts w:ascii="Arial" w:hAnsi="Arial" w:cs="Arial"/>
          <w:sz w:val="20"/>
          <w:szCs w:val="20"/>
        </w:rPr>
        <w:t>an</w:t>
      </w:r>
      <w:r w:rsidRPr="00233927">
        <w:rPr>
          <w:rFonts w:ascii="Arial" w:hAnsi="Arial" w:cs="Arial"/>
          <w:sz w:val="20"/>
          <w:szCs w:val="20"/>
        </w:rPr>
        <w:t xml:space="preserve"> Ultra-short Echo Time (2D-UTE) sequence at an in-plane resolution of 800 </w:t>
      </w:r>
      <w:r w:rsidRPr="00FB1B37">
        <w:rPr>
          <w:rFonts w:ascii="Symbol" w:hAnsi="Symbol" w:cs="Arial"/>
          <w:sz w:val="20"/>
          <w:szCs w:val="20"/>
        </w:rPr>
        <w:t></w:t>
      </w:r>
      <w:r w:rsidRPr="00233927">
        <w:rPr>
          <w:rFonts w:ascii="Arial" w:hAnsi="Arial" w:cs="Arial"/>
          <w:sz w:val="20"/>
          <w:szCs w:val="20"/>
        </w:rPr>
        <w:t xml:space="preserve">m with a 7-mm slice thickness. 2D </w:t>
      </w:r>
      <w:r w:rsidRPr="00233927">
        <w:rPr>
          <w:rFonts w:ascii="Arial" w:hAnsi="Arial" w:cs="Arial"/>
          <w:sz w:val="20"/>
          <w:szCs w:val="20"/>
          <w:vertAlign w:val="superscript"/>
        </w:rPr>
        <w:t>23</w:t>
      </w:r>
      <w:r w:rsidRPr="00233927">
        <w:rPr>
          <w:rFonts w:ascii="Arial" w:hAnsi="Arial" w:cs="Arial"/>
          <w:sz w:val="20"/>
          <w:szCs w:val="20"/>
        </w:rPr>
        <w:t>Na MRI were acquired at the pre-injection, post-injection early (~10 min after injection) and post-injection late (~2</w:t>
      </w:r>
      <w:r w:rsidR="005817B6">
        <w:rPr>
          <w:rFonts w:ascii="Arial" w:hAnsi="Arial" w:cs="Arial"/>
          <w:sz w:val="20"/>
          <w:szCs w:val="20"/>
        </w:rPr>
        <w:t>.5</w:t>
      </w:r>
      <w:r w:rsidRPr="00233927">
        <w:rPr>
          <w:rFonts w:ascii="Arial" w:hAnsi="Arial" w:cs="Arial"/>
          <w:sz w:val="20"/>
          <w:szCs w:val="20"/>
        </w:rPr>
        <w:t xml:space="preserve"> h after injection) time points. 3D sodium scans were acquired in 30 min using a </w:t>
      </w:r>
      <w:r w:rsidR="005B21F0">
        <w:rPr>
          <w:rFonts w:ascii="Arial" w:hAnsi="Arial" w:cs="Arial"/>
          <w:sz w:val="20"/>
          <w:szCs w:val="20"/>
        </w:rPr>
        <w:t xml:space="preserve">3D </w:t>
      </w:r>
      <w:r w:rsidRPr="00233927">
        <w:rPr>
          <w:rFonts w:ascii="Arial" w:hAnsi="Arial" w:cs="Arial"/>
          <w:sz w:val="20"/>
          <w:szCs w:val="20"/>
        </w:rPr>
        <w:t xml:space="preserve">fast low angle shot (3D FLASH) sequence at an isotropic resolution of 1 mm for pre-injection and post-injection late time points. </w:t>
      </w:r>
    </w:p>
    <w:p w:rsidR="006849A2" w:rsidRPr="006B3824" w:rsidRDefault="006849A2" w:rsidP="006849A2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:rsidR="00E25473" w:rsidRPr="006B3824" w:rsidRDefault="008E0E48" w:rsidP="00F73E22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B1B37">
        <w:rPr>
          <w:rFonts w:ascii="Arial" w:hAnsi="Arial" w:cs="Arial"/>
          <w:sz w:val="20"/>
          <w:szCs w:val="20"/>
        </w:rPr>
        <w:t>P</w:t>
      </w:r>
      <w:r w:rsidR="00413EC1">
        <w:rPr>
          <w:rFonts w:ascii="Arial" w:hAnsi="Arial" w:cs="Arial"/>
          <w:sz w:val="20"/>
          <w:szCs w:val="20"/>
        </w:rPr>
        <w:t xml:space="preserve">reliminary analysis </w:t>
      </w:r>
      <w:r w:rsidR="00FB1B37">
        <w:rPr>
          <w:rFonts w:ascii="Arial" w:hAnsi="Arial" w:cs="Arial"/>
          <w:sz w:val="20"/>
          <w:szCs w:val="20"/>
        </w:rPr>
        <w:t xml:space="preserve">did not display significant changes in sodium signal </w:t>
      </w:r>
      <w:r w:rsidR="00413EC1">
        <w:rPr>
          <w:rFonts w:ascii="Arial" w:hAnsi="Arial" w:cs="Arial"/>
          <w:sz w:val="20"/>
          <w:szCs w:val="20"/>
        </w:rPr>
        <w:t xml:space="preserve">based </w:t>
      </w:r>
      <w:r w:rsidR="00FB1B37">
        <w:rPr>
          <w:rFonts w:ascii="Arial" w:hAnsi="Arial" w:cs="Arial"/>
          <w:sz w:val="20"/>
          <w:szCs w:val="20"/>
        </w:rPr>
        <w:t xml:space="preserve">on 2D images, with a trend toward </w:t>
      </w:r>
      <w:r w:rsidR="00413EC1">
        <w:rPr>
          <w:rFonts w:ascii="Arial" w:hAnsi="Arial" w:cs="Arial"/>
          <w:sz w:val="20"/>
          <w:szCs w:val="20"/>
        </w:rPr>
        <w:t xml:space="preserve">higher </w:t>
      </w:r>
      <w:r w:rsidR="00FB1B37">
        <w:rPr>
          <w:rFonts w:ascii="Arial" w:hAnsi="Arial" w:cs="Arial"/>
          <w:sz w:val="20"/>
          <w:szCs w:val="20"/>
        </w:rPr>
        <w:t xml:space="preserve">sodium </w:t>
      </w:r>
      <w:r w:rsidR="00413EC1">
        <w:rPr>
          <w:rFonts w:ascii="Arial" w:hAnsi="Arial" w:cs="Arial"/>
          <w:sz w:val="20"/>
          <w:szCs w:val="20"/>
        </w:rPr>
        <w:t xml:space="preserve">signal </w:t>
      </w:r>
      <w:r w:rsidR="00FB1B37">
        <w:rPr>
          <w:rFonts w:ascii="Arial" w:hAnsi="Arial" w:cs="Arial"/>
          <w:sz w:val="20"/>
          <w:szCs w:val="20"/>
        </w:rPr>
        <w:t>immediately</w:t>
      </w:r>
      <w:r w:rsidR="00413EC1">
        <w:rPr>
          <w:rFonts w:ascii="Arial" w:hAnsi="Arial" w:cs="Arial"/>
          <w:sz w:val="20"/>
          <w:szCs w:val="20"/>
        </w:rPr>
        <w:t xml:space="preserve"> after injection</w:t>
      </w:r>
      <w:r w:rsidR="00FB1B37">
        <w:rPr>
          <w:rFonts w:ascii="Arial" w:hAnsi="Arial" w:cs="Arial"/>
          <w:sz w:val="20"/>
          <w:szCs w:val="20"/>
        </w:rPr>
        <w:t xml:space="preserve"> as opposed to longer times following injection. </w:t>
      </w:r>
      <w:r w:rsidR="00C94943">
        <w:rPr>
          <w:rFonts w:ascii="Arial" w:hAnsi="Arial" w:cs="Arial"/>
          <w:sz w:val="20"/>
          <w:szCs w:val="20"/>
        </w:rPr>
        <w:t xml:space="preserve">3D </w:t>
      </w:r>
      <w:r w:rsidR="00FB1B37" w:rsidRPr="00FB1B37">
        <w:rPr>
          <w:rFonts w:ascii="Arial" w:hAnsi="Arial" w:cs="Arial"/>
          <w:sz w:val="20"/>
          <w:szCs w:val="20"/>
          <w:vertAlign w:val="superscript"/>
        </w:rPr>
        <w:t>23</w:t>
      </w:r>
      <w:r w:rsidR="00FB1B37">
        <w:rPr>
          <w:rFonts w:ascii="Arial" w:hAnsi="Arial" w:cs="Arial"/>
          <w:sz w:val="20"/>
          <w:szCs w:val="20"/>
        </w:rPr>
        <w:t xml:space="preserve">Na </w:t>
      </w:r>
      <w:r w:rsidR="00C94943">
        <w:rPr>
          <w:rFonts w:ascii="Arial" w:hAnsi="Arial" w:cs="Arial"/>
          <w:sz w:val="20"/>
          <w:szCs w:val="20"/>
        </w:rPr>
        <w:t>scans</w:t>
      </w:r>
      <w:r w:rsidR="00FB1B37">
        <w:rPr>
          <w:rFonts w:ascii="Arial" w:hAnsi="Arial" w:cs="Arial"/>
          <w:sz w:val="20"/>
          <w:szCs w:val="20"/>
        </w:rPr>
        <w:t xml:space="preserve"> (Fig 10 were segmented to analyze the eyes, olfactory bulb (</w:t>
      </w:r>
      <w:proofErr w:type="spellStart"/>
      <w:r w:rsidR="00FB1B37">
        <w:rPr>
          <w:rFonts w:ascii="Arial" w:hAnsi="Arial" w:cs="Arial"/>
          <w:sz w:val="20"/>
          <w:szCs w:val="20"/>
        </w:rPr>
        <w:t>olf</w:t>
      </w:r>
      <w:proofErr w:type="spellEnd"/>
      <w:r w:rsidR="00FB1B37">
        <w:rPr>
          <w:rFonts w:ascii="Arial" w:hAnsi="Arial" w:cs="Arial"/>
          <w:sz w:val="20"/>
          <w:szCs w:val="20"/>
        </w:rPr>
        <w:t>)</w:t>
      </w:r>
      <w:r w:rsidR="00C94943">
        <w:rPr>
          <w:rFonts w:ascii="Arial" w:hAnsi="Arial" w:cs="Arial"/>
          <w:sz w:val="20"/>
          <w:szCs w:val="20"/>
        </w:rPr>
        <w:t xml:space="preserve">, </w:t>
      </w:r>
      <w:r w:rsidR="00FB1B37">
        <w:rPr>
          <w:rFonts w:ascii="Arial" w:hAnsi="Arial" w:cs="Arial"/>
          <w:sz w:val="20"/>
          <w:szCs w:val="20"/>
        </w:rPr>
        <w:t xml:space="preserve">hippocampus (hippo), corpus callosum (cc), cerebellum, brainstem, neocortex and ventricular system. As shown in Fig 2, this segmentation displayed trends toward decreased sodium in the </w:t>
      </w:r>
      <w:proofErr w:type="spellStart"/>
      <w:r w:rsidR="00FB1B37">
        <w:rPr>
          <w:rFonts w:ascii="Arial" w:hAnsi="Arial" w:cs="Arial"/>
          <w:sz w:val="20"/>
          <w:szCs w:val="20"/>
        </w:rPr>
        <w:t>olf</w:t>
      </w:r>
      <w:proofErr w:type="spellEnd"/>
      <w:r w:rsidR="00FB1B37">
        <w:rPr>
          <w:rFonts w:ascii="Arial" w:hAnsi="Arial" w:cs="Arial"/>
          <w:sz w:val="20"/>
          <w:szCs w:val="20"/>
        </w:rPr>
        <w:t>, hippo and cc compared to saline injected controls.</w:t>
      </w:r>
      <w:r w:rsidR="005614AF">
        <w:rPr>
          <w:rFonts w:ascii="Arial" w:hAnsi="Arial" w:cs="Arial"/>
          <w:sz w:val="20"/>
          <w:szCs w:val="20"/>
        </w:rPr>
        <w:t xml:space="preserve"> These higher resolution images demonstrate potentially differential impacts of NTG-induced migraine in the brain but indicate a temporal dependence on sodium signal following injection.</w:t>
      </w:r>
    </w:p>
    <w:p w:rsidR="00734E94" w:rsidRPr="006B3824" w:rsidRDefault="00734E9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FB4399" w:rsidRDefault="00E25473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:rsidR="00491C5D" w:rsidRDefault="00FB4399" w:rsidP="00FB4399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4E2E48">
        <w:rPr>
          <w:rFonts w:ascii="Arial" w:eastAsia="Times New Roman" w:hAnsi="Arial" w:cs="Arial"/>
          <w:sz w:val="20"/>
          <w:szCs w:val="20"/>
          <w:lang w:eastAsia="en-US"/>
        </w:rPr>
        <w:t>This work was supported by the NIH (R01-NS072497 to MGH) and UCGP (to SCG) from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 xml:space="preserve"> the National High Magnetic Fi</w:t>
      </w:r>
      <w:r w:rsidR="004E2E48">
        <w:rPr>
          <w:rFonts w:ascii="Arial" w:eastAsia="Times New Roman" w:hAnsi="Arial" w:cs="Arial"/>
          <w:sz w:val="20"/>
          <w:szCs w:val="20"/>
          <w:lang w:eastAsia="en-US"/>
        </w:rPr>
        <w:t>eld Laboratory, which is fund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 xml:space="preserve">ed by </w:t>
      </w:r>
      <w:r w:rsidR="004E2E48">
        <w:rPr>
          <w:rFonts w:ascii="Arial" w:eastAsia="Times New Roman" w:hAnsi="Arial" w:cs="Arial"/>
          <w:sz w:val="20"/>
          <w:szCs w:val="20"/>
          <w:lang w:eastAsia="en-US"/>
        </w:rPr>
        <w:t xml:space="preserve">the </w:t>
      </w:r>
      <w:r w:rsidR="00FF09FB">
        <w:rPr>
          <w:rFonts w:ascii="Arial" w:eastAsia="Times New Roman" w:hAnsi="Arial" w:cs="Arial"/>
          <w:sz w:val="20"/>
          <w:szCs w:val="20"/>
          <w:lang w:eastAsia="en-US"/>
        </w:rPr>
        <w:t>NSF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4E2E48">
        <w:rPr>
          <w:rFonts w:ascii="Arial" w:eastAsia="Times New Roman" w:hAnsi="Arial" w:cs="Arial"/>
          <w:sz w:val="20"/>
          <w:szCs w:val="20"/>
          <w:lang w:eastAsia="en-US"/>
        </w:rPr>
        <w:t>(</w:t>
      </w:r>
      <w:r w:rsidR="003A1FF5">
        <w:rPr>
          <w:rFonts w:ascii="Arial" w:eastAsia="Times New Roman" w:hAnsi="Arial" w:cs="Arial"/>
          <w:sz w:val="20"/>
          <w:szCs w:val="20"/>
          <w:lang w:eastAsia="en-US"/>
        </w:rPr>
        <w:t>DMR-1157490</w:t>
      </w:r>
      <w:r w:rsidR="004E2E48">
        <w:rPr>
          <w:rFonts w:ascii="Arial" w:eastAsia="Times New Roman" w:hAnsi="Arial" w:cs="Arial"/>
          <w:sz w:val="20"/>
          <w:szCs w:val="20"/>
          <w:lang w:eastAsia="en-US"/>
        </w:rPr>
        <w:t>)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 and 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334CEB">
        <w:rPr>
          <w:rFonts w:ascii="Arial" w:eastAsia="Times New Roman" w:hAnsi="Arial" w:cs="Arial"/>
          <w:sz w:val="20"/>
          <w:szCs w:val="20"/>
          <w:lang w:eastAsia="en-US"/>
        </w:rPr>
        <w:t>e of Florida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. </w:t>
      </w:r>
      <w:r w:rsidR="00491C5D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</w:p>
    <w:p w:rsidR="00FB4399" w:rsidRPr="00233927" w:rsidRDefault="00FB4399" w:rsidP="00FB4399">
      <w:pPr>
        <w:tabs>
          <w:tab w:val="left" w:pos="360"/>
        </w:tabs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233927">
        <w:rPr>
          <w:rFonts w:ascii="Arial" w:hAnsi="Arial" w:cs="Arial"/>
          <w:b/>
          <w:sz w:val="20"/>
          <w:szCs w:val="20"/>
        </w:rPr>
        <w:t xml:space="preserve"> </w:t>
      </w:r>
    </w:p>
    <w:p w:rsidR="00E25473" w:rsidRDefault="00E25473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:rsidR="004E2E48" w:rsidRPr="005A17CB" w:rsidRDefault="006F2B51" w:rsidP="0049187D">
      <w:pPr>
        <w:tabs>
          <w:tab w:val="left" w:pos="360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A17CB">
        <w:rPr>
          <w:rFonts w:ascii="Arial" w:hAnsi="Arial" w:cs="Arial"/>
          <w:color w:val="000000"/>
          <w:sz w:val="20"/>
          <w:szCs w:val="20"/>
          <w:shd w:val="clear" w:color="auto" w:fill="FFFFFF"/>
        </w:rPr>
        <w:t>[1] Harrington</w:t>
      </w:r>
      <w:r w:rsidR="004E2E48" w:rsidRPr="005A17CB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5A17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</w:t>
      </w:r>
      <w:r w:rsidR="004E2E48" w:rsidRPr="005A17CB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5A17CB">
        <w:rPr>
          <w:rFonts w:ascii="Arial" w:hAnsi="Arial" w:cs="Arial"/>
          <w:color w:val="000000"/>
          <w:sz w:val="20"/>
          <w:szCs w:val="20"/>
          <w:shd w:val="clear" w:color="auto" w:fill="FFFFFF"/>
        </w:rPr>
        <w:t>G</w:t>
      </w:r>
      <w:r w:rsidR="004E2E48" w:rsidRPr="005A17CB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5A17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4E2E48" w:rsidRPr="005A17C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et al.</w:t>
      </w:r>
      <w:r w:rsidR="004E2E48" w:rsidRPr="005A17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5A17CB">
        <w:rPr>
          <w:rStyle w:val="ref-journal"/>
          <w:rFonts w:ascii="Arial" w:hAnsi="Arial" w:cs="Arial"/>
          <w:color w:val="000000"/>
          <w:sz w:val="20"/>
          <w:szCs w:val="20"/>
          <w:shd w:val="clear" w:color="auto" w:fill="FFFFFF"/>
        </w:rPr>
        <w:t>Headache</w:t>
      </w:r>
      <w:r w:rsidR="004E2E48" w:rsidRPr="005A17CB">
        <w:rPr>
          <w:rStyle w:val="ref-journal"/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5A17CB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5A17CB">
        <w:rPr>
          <w:rStyle w:val="ref-vol"/>
          <w:rFonts w:ascii="Arial" w:hAnsi="Arial" w:cs="Arial"/>
          <w:b/>
          <w:color w:val="000000"/>
          <w:sz w:val="20"/>
          <w:szCs w:val="20"/>
          <w:shd w:val="clear" w:color="auto" w:fill="FFFFFF"/>
        </w:rPr>
        <w:t>50</w:t>
      </w:r>
      <w:r w:rsidR="004E2E48" w:rsidRPr="005A17CB">
        <w:rPr>
          <w:rStyle w:val="ref-vol"/>
          <w:rFonts w:ascii="Arial" w:hAnsi="Arial" w:cs="Arial"/>
          <w:b/>
          <w:color w:val="000000"/>
          <w:sz w:val="20"/>
          <w:szCs w:val="20"/>
          <w:shd w:val="clear" w:color="auto" w:fill="FFFFFF"/>
        </w:rPr>
        <w:t>(3)</w:t>
      </w:r>
      <w:r w:rsidR="004E2E48" w:rsidRPr="005A17CB">
        <w:rPr>
          <w:rFonts w:ascii="Arial" w:hAnsi="Arial" w:cs="Arial"/>
          <w:color w:val="000000"/>
          <w:sz w:val="20"/>
          <w:szCs w:val="20"/>
          <w:shd w:val="clear" w:color="auto" w:fill="FFFFFF"/>
        </w:rPr>
        <w:t>, 459-</w:t>
      </w:r>
      <w:r w:rsidRPr="005A17CB">
        <w:rPr>
          <w:rFonts w:ascii="Arial" w:hAnsi="Arial" w:cs="Arial"/>
          <w:color w:val="000000"/>
          <w:sz w:val="20"/>
          <w:szCs w:val="20"/>
          <w:shd w:val="clear" w:color="auto" w:fill="FFFFFF"/>
        </w:rPr>
        <w:t>478</w:t>
      </w:r>
      <w:r w:rsidR="004E2E48" w:rsidRPr="005A17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(2010)</w:t>
      </w:r>
      <w:r w:rsidRPr="005A17CB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6F2B51" w:rsidRDefault="005A17CB" w:rsidP="0049187D">
      <w:pPr>
        <w:tabs>
          <w:tab w:val="left" w:pos="360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B21F0">
        <w:rPr>
          <w:rFonts w:ascii="Arial" w:hAnsi="Arial" w:cs="Arial"/>
          <w:b/>
          <w:noProof/>
          <w:sz w:val="20"/>
          <w:szCs w:val="20"/>
          <w:lang w:eastAsia="en-US"/>
        </w:rPr>
        <w:drawing>
          <wp:anchor distT="0" distB="0" distL="114300" distR="114300" simplePos="0" relativeHeight="251660288" behindDoc="1" locked="0" layoutInCell="1" allowOverlap="1" wp14:anchorId="3B75BBE9" wp14:editId="2EB6B49C">
            <wp:simplePos x="0" y="0"/>
            <wp:positionH relativeFrom="column">
              <wp:posOffset>3178175</wp:posOffset>
            </wp:positionH>
            <wp:positionV relativeFrom="paragraph">
              <wp:posOffset>142875</wp:posOffset>
            </wp:positionV>
            <wp:extent cx="3227705" cy="1923415"/>
            <wp:effectExtent l="0" t="0" r="10795" b="19685"/>
            <wp:wrapTight wrapText="bothSides">
              <wp:wrapPolygon edited="0">
                <wp:start x="0" y="0"/>
                <wp:lineTo x="0" y="21607"/>
                <wp:lineTo x="21545" y="21607"/>
                <wp:lineTo x="21545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B51" w:rsidRPr="005A17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[2] </w:t>
      </w:r>
      <w:r w:rsidR="006F2B51" w:rsidRPr="006F2B51">
        <w:rPr>
          <w:rFonts w:ascii="Arial" w:hAnsi="Arial" w:cs="Arial"/>
          <w:color w:val="000000"/>
          <w:sz w:val="20"/>
          <w:szCs w:val="20"/>
          <w:shd w:val="clear" w:color="auto" w:fill="FFFFFF"/>
        </w:rPr>
        <w:t>Harrington</w:t>
      </w:r>
      <w:r w:rsidR="004E2E48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6F2B51" w:rsidRPr="006F2B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</w:t>
      </w:r>
      <w:r w:rsidR="004E2E48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6F2B51" w:rsidRPr="006F2B51">
        <w:rPr>
          <w:rFonts w:ascii="Arial" w:hAnsi="Arial" w:cs="Arial"/>
          <w:color w:val="000000"/>
          <w:sz w:val="20"/>
          <w:szCs w:val="20"/>
          <w:shd w:val="clear" w:color="auto" w:fill="FFFFFF"/>
        </w:rPr>
        <w:t>G</w:t>
      </w:r>
      <w:r w:rsidR="004E2E48">
        <w:rPr>
          <w:rFonts w:ascii="Arial" w:hAnsi="Arial" w:cs="Arial"/>
          <w:color w:val="000000"/>
          <w:sz w:val="20"/>
          <w:szCs w:val="20"/>
          <w:shd w:val="clear" w:color="auto" w:fill="FFFFFF"/>
        </w:rPr>
        <w:t>.,</w:t>
      </w:r>
      <w:r w:rsidR="006F2B51" w:rsidRPr="006F2B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E2E48" w:rsidRPr="004E2E4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et al.</w:t>
      </w:r>
      <w:r w:rsidR="004E2E48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6F2B51" w:rsidRPr="006F2B5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 w:rsidR="006F2B51" w:rsidRPr="006F2B51">
        <w:rPr>
          <w:rStyle w:val="ref-journal"/>
          <w:rFonts w:ascii="Arial" w:hAnsi="Arial" w:cs="Arial"/>
          <w:color w:val="000000"/>
          <w:sz w:val="20"/>
          <w:szCs w:val="20"/>
          <w:shd w:val="clear" w:color="auto" w:fill="FFFFFF"/>
        </w:rPr>
        <w:t>Cephalalgia</w:t>
      </w:r>
      <w:proofErr w:type="spellEnd"/>
      <w:r w:rsidR="004E2E48">
        <w:rPr>
          <w:rStyle w:val="ref-journal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6F2B51" w:rsidRPr="004E2E48">
        <w:rPr>
          <w:rStyle w:val="ref-vol"/>
          <w:rFonts w:ascii="Arial" w:hAnsi="Arial" w:cs="Arial"/>
          <w:b/>
          <w:color w:val="000000"/>
          <w:sz w:val="20"/>
          <w:szCs w:val="20"/>
          <w:shd w:val="clear" w:color="auto" w:fill="FFFFFF"/>
        </w:rPr>
        <w:t>3</w:t>
      </w:r>
      <w:r w:rsidR="006F2B51" w:rsidRPr="005A17CB">
        <w:rPr>
          <w:rStyle w:val="ref-vol"/>
          <w:rFonts w:ascii="Arial" w:hAnsi="Arial" w:cs="Arial"/>
          <w:b/>
          <w:color w:val="000000"/>
          <w:sz w:val="20"/>
          <w:szCs w:val="20"/>
          <w:shd w:val="clear" w:color="auto" w:fill="FFFFFF"/>
        </w:rPr>
        <w:t>1</w:t>
      </w:r>
      <w:r w:rsidR="004E2E48" w:rsidRPr="005A17CB">
        <w:rPr>
          <w:rStyle w:val="ref-vol"/>
          <w:rFonts w:ascii="Arial" w:hAnsi="Arial" w:cs="Arial"/>
          <w:b/>
          <w:color w:val="000000"/>
          <w:sz w:val="20"/>
          <w:szCs w:val="20"/>
          <w:shd w:val="clear" w:color="auto" w:fill="FFFFFF"/>
        </w:rPr>
        <w:t>(12)</w:t>
      </w:r>
      <w:proofErr w:type="gramStart"/>
      <w:r w:rsidR="004E2E48">
        <w:rPr>
          <w:rFonts w:ascii="Arial" w:hAnsi="Arial" w:cs="Arial"/>
          <w:color w:val="000000"/>
          <w:sz w:val="20"/>
          <w:szCs w:val="20"/>
          <w:shd w:val="clear" w:color="auto" w:fill="FFFFFF"/>
        </w:rPr>
        <w:t>,1254</w:t>
      </w:r>
      <w:proofErr w:type="gramEnd"/>
      <w:r w:rsidR="004E2E48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="006F2B51" w:rsidRPr="006F2B51">
        <w:rPr>
          <w:rFonts w:ascii="Arial" w:hAnsi="Arial" w:cs="Arial"/>
          <w:color w:val="000000"/>
          <w:sz w:val="20"/>
          <w:szCs w:val="20"/>
          <w:shd w:val="clear" w:color="auto" w:fill="FFFFFF"/>
        </w:rPr>
        <w:t>1265</w:t>
      </w:r>
      <w:r w:rsidR="004E2E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(2011).</w:t>
      </w:r>
    </w:p>
    <w:p w:rsidR="005B21F0" w:rsidRDefault="005B21F0" w:rsidP="0049187D">
      <w:pPr>
        <w:tabs>
          <w:tab w:val="left" w:pos="360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A17CB" w:rsidRDefault="008F6C57" w:rsidP="0049187D">
      <w:pPr>
        <w:tabs>
          <w:tab w:val="left" w:pos="360"/>
        </w:tabs>
        <w:rPr>
          <w:noProof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5845B" wp14:editId="2DB37745">
                <wp:simplePos x="0" y="0"/>
                <wp:positionH relativeFrom="column">
                  <wp:posOffset>-19050</wp:posOffset>
                </wp:positionH>
                <wp:positionV relativeFrom="paragraph">
                  <wp:posOffset>1492250</wp:posOffset>
                </wp:positionV>
                <wp:extent cx="3049270" cy="370840"/>
                <wp:effectExtent l="0" t="0" r="0" b="0"/>
                <wp:wrapNone/>
                <wp:docPr id="8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79D" w:rsidRDefault="00B4579D" w:rsidP="00B4579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B4579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Fig</w:t>
                            </w:r>
                            <w:r w:rsidR="005B21F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. 1</w:t>
                            </w:r>
                            <w:r w:rsidRPr="00B4579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30E7" w:rsidRPr="008F6C5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vertAlign w:val="superscript"/>
                              </w:rPr>
                              <w:t>23</w:t>
                            </w:r>
                            <w:r w:rsidR="008F6C5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Na 3D FLASH (TE/TR=1/50 ms) </w:t>
                            </w:r>
                            <w:r w:rsidRPr="00B4579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acquired </w:t>
                            </w:r>
                            <w:r w:rsidR="008F6C5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at</w:t>
                            </w:r>
                            <w:r w:rsidRPr="00B4579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1-mm isotropic </w:t>
                            </w:r>
                            <w:bookmarkStart w:id="0" w:name="_GoBack"/>
                            <w:bookmarkEnd w:id="0"/>
                            <w:r w:rsidRPr="00B4579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resolution</w:t>
                            </w:r>
                            <w:r w:rsidR="008F6C5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at pre- and post-injection points.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0" o:spid="_x0000_s1026" type="#_x0000_t202" style="position:absolute;margin-left:-1.5pt;margin-top:117.5pt;width:240.1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CRLtg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" filled="f" stroked="f">
                <v:textbox>
                  <w:txbxContent>
                    <w:p w:rsidR="00B4579D" w:rsidRDefault="00B4579D" w:rsidP="00B4579D">
                      <w:pPr>
                        <w:pStyle w:val="NormalWeb"/>
                        <w:spacing w:before="0" w:beforeAutospacing="0" w:after="0" w:afterAutospacing="0"/>
                      </w:pPr>
                      <w:r w:rsidRPr="00B4579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Fig</w:t>
                      </w:r>
                      <w:r w:rsidR="005B21F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. 1</w:t>
                      </w:r>
                      <w:r w:rsidRPr="00B4579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E430E7" w:rsidRPr="008F6C57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vertAlign w:val="superscript"/>
                        </w:rPr>
                        <w:t>23</w:t>
                      </w:r>
                      <w:r w:rsidR="008F6C57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Na 3D FLASH (TE/TR=1/50 ms) </w:t>
                      </w:r>
                      <w:r w:rsidRPr="00B4579D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acquired </w:t>
                      </w:r>
                      <w:r w:rsidR="008F6C57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</w:rPr>
                        <w:t>at</w:t>
                      </w:r>
                      <w:r w:rsidRPr="00B4579D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1-mm isotropic resolution</w:t>
                      </w:r>
                      <w:r w:rsidR="008F6C57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at pre- and post-injection points. </w:t>
                      </w:r>
                    </w:p>
                  </w:txbxContent>
                </v:textbox>
              </v:shape>
            </w:pict>
          </mc:Fallback>
        </mc:AlternateContent>
      </w:r>
      <w:r w:rsidR="00FF09FB">
        <w:rPr>
          <w:noProof/>
          <w:lang w:eastAsia="en-US"/>
        </w:rPr>
        <w:drawing>
          <wp:inline distT="0" distB="0" distL="0" distR="0" wp14:anchorId="58F34E3C" wp14:editId="090D282B">
            <wp:extent cx="3014980" cy="1483995"/>
            <wp:effectExtent l="0" t="0" r="0" b="190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7CB" w:rsidRDefault="005A17CB" w:rsidP="0049187D">
      <w:pPr>
        <w:tabs>
          <w:tab w:val="left" w:pos="360"/>
        </w:tabs>
        <w:rPr>
          <w:noProof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B3BCFD" wp14:editId="76662CF8">
                <wp:simplePos x="0" y="0"/>
                <wp:positionH relativeFrom="column">
                  <wp:posOffset>3181350</wp:posOffset>
                </wp:positionH>
                <wp:positionV relativeFrom="paragraph">
                  <wp:posOffset>145802</wp:posOffset>
                </wp:positionV>
                <wp:extent cx="3049270" cy="619125"/>
                <wp:effectExtent l="0" t="0" r="0" b="9525"/>
                <wp:wrapNone/>
                <wp:docPr id="6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B37" w:rsidRDefault="00FB1B37" w:rsidP="00FB1B3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B4579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Fig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. 2</w:t>
                            </w:r>
                            <w:r w:rsidRPr="00B4579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Percentage difference between pre- and late-post injection time points for anatomical regions segmented from 3D </w:t>
                            </w:r>
                            <w:r w:rsidRPr="008F6C5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vertAlign w:val="superscript"/>
                              </w:rPr>
                              <w:t>23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Na FLASH.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0.5pt;margin-top:11.5pt;width:240.1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" filled="f" stroked="f">
                <v:textbox>
                  <w:txbxContent>
                    <w:p w:rsidR="00FB1B37" w:rsidRDefault="00FB1B37" w:rsidP="00FB1B37">
                      <w:pPr>
                        <w:pStyle w:val="NormalWeb"/>
                        <w:spacing w:before="0" w:beforeAutospacing="0" w:after="0" w:afterAutospacing="0"/>
                      </w:pPr>
                      <w:r w:rsidRPr="00B4579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Fig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. 2</w:t>
                      </w:r>
                      <w:r w:rsidRPr="00B4579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Percentage difference between pre- and late-post injection time points for anatomical regions segmented from 3D </w:t>
                      </w:r>
                      <w:r w:rsidRPr="008F6C57"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  <w:vertAlign w:val="superscript"/>
                        </w:rPr>
                        <w:t>23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Na FLASH. </w:t>
                      </w:r>
                    </w:p>
                  </w:txbxContent>
                </v:textbox>
              </v:shape>
            </w:pict>
          </mc:Fallback>
        </mc:AlternateContent>
      </w:r>
    </w:p>
    <w:p w:rsidR="005A17CB" w:rsidRDefault="005A17CB" w:rsidP="0049187D">
      <w:pPr>
        <w:tabs>
          <w:tab w:val="left" w:pos="360"/>
        </w:tabs>
        <w:rPr>
          <w:noProof/>
          <w:lang w:eastAsia="en-US"/>
        </w:rPr>
      </w:pPr>
    </w:p>
    <w:p w:rsidR="005A17CB" w:rsidRDefault="005A17CB" w:rsidP="0049187D">
      <w:pPr>
        <w:tabs>
          <w:tab w:val="left" w:pos="360"/>
        </w:tabs>
        <w:rPr>
          <w:noProof/>
          <w:lang w:eastAsia="en-US"/>
        </w:rPr>
      </w:pPr>
    </w:p>
    <w:p w:rsidR="00FC49E8" w:rsidRPr="006F2B51" w:rsidRDefault="00FC49E8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sectPr w:rsidR="00FC49E8" w:rsidRPr="006F2B51" w:rsidSect="00450C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CBF" w:rsidRDefault="001A7CBF">
      <w:r>
        <w:separator/>
      </w:r>
    </w:p>
  </w:endnote>
  <w:endnote w:type="continuationSeparator" w:id="0">
    <w:p w:rsidR="001A7CBF" w:rsidRDefault="001A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CBF" w:rsidRDefault="001A7CBF">
      <w:r>
        <w:separator/>
      </w:r>
    </w:p>
  </w:footnote>
  <w:footnote w:type="continuationSeparator" w:id="0">
    <w:p w:rsidR="001A7CBF" w:rsidRDefault="001A7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C6" w:rsidRDefault="00FF09FB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583" w:rsidRPr="00306550" w:rsidRDefault="001E6BF4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 w:rsidR="00A55035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:rsidR="00F974C6" w:rsidRPr="00306550" w:rsidRDefault="001E6BF4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</w:t>
                          </w:r>
                          <w:r w:rsidR="008A1D84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5 </w:t>
                          </w:r>
                          <w:r w:rsidR="00F974C6"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y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4v5bDafYkTBVuRlPov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oyK4rQwnFRTOc5LOy5ZXNuIYoCVI09RuP0&#10;xo9tvzNWbFu4aZSx0lcgxEZE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AksvJyC&#10;AgAADwUAAA4AAAAAAAAAAAAAAAAALgIAAGRycy9lMm9Eb2MueG1sUEsBAi0AFAAGAAgAAAAhABa7&#10;fX3dAAAACQEAAA8AAAAAAAAAAAAAAAAA3AQAAGRycy9kb3ducmV2LnhtbFBLBQYAAAAABAAEAPMA&#10;AADmBQAAAAA=&#10;" stroked="f">
              <v:textbox>
                <w:txbxContent>
                  <w:p w:rsidR="00F95583" w:rsidRPr="00306550" w:rsidRDefault="001E6BF4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 w:rsidR="00A55035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:rsidR="00F974C6" w:rsidRPr="00306550" w:rsidRDefault="001E6BF4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</w:t>
                    </w:r>
                    <w:r w:rsidR="008A1D84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5 </w:t>
                    </w:r>
                    <w:r w:rsidR="00F974C6"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>
          <wp:extent cx="522605" cy="626745"/>
          <wp:effectExtent l="0" t="0" r="0" b="1905"/>
          <wp:docPr id="5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C141DE"/>
    <w:multiLevelType w:val="hybridMultilevel"/>
    <w:tmpl w:val="93F2478A"/>
    <w:lvl w:ilvl="0" w:tplc="B60A3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E626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96DF9E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BA722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CA4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C86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C4B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589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A9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3435E70"/>
    <w:multiLevelType w:val="hybridMultilevel"/>
    <w:tmpl w:val="A3F0B9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0090C"/>
    <w:rsid w:val="00000FAC"/>
    <w:rsid w:val="00020C55"/>
    <w:rsid w:val="000558AC"/>
    <w:rsid w:val="000736B9"/>
    <w:rsid w:val="00085670"/>
    <w:rsid w:val="000A1716"/>
    <w:rsid w:val="000A4309"/>
    <w:rsid w:val="000A59A8"/>
    <w:rsid w:val="000C7FF8"/>
    <w:rsid w:val="000D3516"/>
    <w:rsid w:val="000E1D4F"/>
    <w:rsid w:val="00104A4C"/>
    <w:rsid w:val="00113D92"/>
    <w:rsid w:val="00117434"/>
    <w:rsid w:val="00120180"/>
    <w:rsid w:val="0014131B"/>
    <w:rsid w:val="00141FE9"/>
    <w:rsid w:val="0015299E"/>
    <w:rsid w:val="00155AD2"/>
    <w:rsid w:val="00167606"/>
    <w:rsid w:val="00182F98"/>
    <w:rsid w:val="001836FA"/>
    <w:rsid w:val="0018419E"/>
    <w:rsid w:val="00184F4C"/>
    <w:rsid w:val="0018697C"/>
    <w:rsid w:val="00187023"/>
    <w:rsid w:val="001A7CBF"/>
    <w:rsid w:val="001B1C0A"/>
    <w:rsid w:val="001C5FBE"/>
    <w:rsid w:val="001D59E4"/>
    <w:rsid w:val="001E1A4D"/>
    <w:rsid w:val="001E526E"/>
    <w:rsid w:val="001E5ECF"/>
    <w:rsid w:val="001E6BF4"/>
    <w:rsid w:val="0021103E"/>
    <w:rsid w:val="00215E88"/>
    <w:rsid w:val="00231335"/>
    <w:rsid w:val="00233927"/>
    <w:rsid w:val="00233F11"/>
    <w:rsid w:val="00241739"/>
    <w:rsid w:val="002426D5"/>
    <w:rsid w:val="002524EE"/>
    <w:rsid w:val="002608FE"/>
    <w:rsid w:val="00265A15"/>
    <w:rsid w:val="00290223"/>
    <w:rsid w:val="002B48BC"/>
    <w:rsid w:val="002C3519"/>
    <w:rsid w:val="002C7675"/>
    <w:rsid w:val="00306550"/>
    <w:rsid w:val="00312C04"/>
    <w:rsid w:val="00314059"/>
    <w:rsid w:val="0031522E"/>
    <w:rsid w:val="00334CEB"/>
    <w:rsid w:val="00355963"/>
    <w:rsid w:val="003560D2"/>
    <w:rsid w:val="00363C8F"/>
    <w:rsid w:val="00376846"/>
    <w:rsid w:val="00376D2C"/>
    <w:rsid w:val="00393065"/>
    <w:rsid w:val="003A1FF5"/>
    <w:rsid w:val="003C6493"/>
    <w:rsid w:val="003E2F8E"/>
    <w:rsid w:val="003F1F5C"/>
    <w:rsid w:val="003F55A7"/>
    <w:rsid w:val="003F6E7E"/>
    <w:rsid w:val="00410D2C"/>
    <w:rsid w:val="00412144"/>
    <w:rsid w:val="00413EC1"/>
    <w:rsid w:val="00420894"/>
    <w:rsid w:val="00420E3C"/>
    <w:rsid w:val="004337E8"/>
    <w:rsid w:val="00450C97"/>
    <w:rsid w:val="00486FF9"/>
    <w:rsid w:val="0049187D"/>
    <w:rsid w:val="00491C5D"/>
    <w:rsid w:val="004A227C"/>
    <w:rsid w:val="004B5227"/>
    <w:rsid w:val="004C151A"/>
    <w:rsid w:val="004E2E48"/>
    <w:rsid w:val="004F160B"/>
    <w:rsid w:val="005034C0"/>
    <w:rsid w:val="00511F7E"/>
    <w:rsid w:val="005173CE"/>
    <w:rsid w:val="0053142A"/>
    <w:rsid w:val="005452B9"/>
    <w:rsid w:val="005614AF"/>
    <w:rsid w:val="005817B6"/>
    <w:rsid w:val="00583BC3"/>
    <w:rsid w:val="00596591"/>
    <w:rsid w:val="005A17B3"/>
    <w:rsid w:val="005A17CB"/>
    <w:rsid w:val="005A1B84"/>
    <w:rsid w:val="005B21F0"/>
    <w:rsid w:val="005C21AC"/>
    <w:rsid w:val="005C4422"/>
    <w:rsid w:val="005C4667"/>
    <w:rsid w:val="005C5648"/>
    <w:rsid w:val="00625028"/>
    <w:rsid w:val="0062505B"/>
    <w:rsid w:val="00627F7D"/>
    <w:rsid w:val="006612DC"/>
    <w:rsid w:val="00672D41"/>
    <w:rsid w:val="00675A40"/>
    <w:rsid w:val="00676827"/>
    <w:rsid w:val="006849A2"/>
    <w:rsid w:val="006B3824"/>
    <w:rsid w:val="006C4440"/>
    <w:rsid w:val="006D3866"/>
    <w:rsid w:val="006D745E"/>
    <w:rsid w:val="006E2CE0"/>
    <w:rsid w:val="006E4A9F"/>
    <w:rsid w:val="006E5C15"/>
    <w:rsid w:val="006F2B51"/>
    <w:rsid w:val="007207FF"/>
    <w:rsid w:val="00731C19"/>
    <w:rsid w:val="00734E94"/>
    <w:rsid w:val="00741B50"/>
    <w:rsid w:val="00764FB5"/>
    <w:rsid w:val="0076592F"/>
    <w:rsid w:val="00774A49"/>
    <w:rsid w:val="007B0F1D"/>
    <w:rsid w:val="007B2929"/>
    <w:rsid w:val="007C0813"/>
    <w:rsid w:val="007D3105"/>
    <w:rsid w:val="007E2F28"/>
    <w:rsid w:val="00804D04"/>
    <w:rsid w:val="00843442"/>
    <w:rsid w:val="00862CB5"/>
    <w:rsid w:val="00883638"/>
    <w:rsid w:val="008A1D84"/>
    <w:rsid w:val="008B05B8"/>
    <w:rsid w:val="008C5788"/>
    <w:rsid w:val="008D3CA3"/>
    <w:rsid w:val="008E0E48"/>
    <w:rsid w:val="008E5BC5"/>
    <w:rsid w:val="008E5C85"/>
    <w:rsid w:val="008F35CC"/>
    <w:rsid w:val="008F6083"/>
    <w:rsid w:val="008F6C57"/>
    <w:rsid w:val="0090738D"/>
    <w:rsid w:val="009648AC"/>
    <w:rsid w:val="009759D9"/>
    <w:rsid w:val="009A39F6"/>
    <w:rsid w:val="009A3F73"/>
    <w:rsid w:val="009B2A21"/>
    <w:rsid w:val="009B41B2"/>
    <w:rsid w:val="009C318D"/>
    <w:rsid w:val="009C3DF0"/>
    <w:rsid w:val="009C7F31"/>
    <w:rsid w:val="009D39A4"/>
    <w:rsid w:val="009E4F1E"/>
    <w:rsid w:val="00A05BAD"/>
    <w:rsid w:val="00A1227A"/>
    <w:rsid w:val="00A2342C"/>
    <w:rsid w:val="00A43CDE"/>
    <w:rsid w:val="00A55035"/>
    <w:rsid w:val="00A758E6"/>
    <w:rsid w:val="00A94FC4"/>
    <w:rsid w:val="00A9786E"/>
    <w:rsid w:val="00AA19D9"/>
    <w:rsid w:val="00AB449B"/>
    <w:rsid w:val="00AC297F"/>
    <w:rsid w:val="00AC4AFE"/>
    <w:rsid w:val="00AD2AEE"/>
    <w:rsid w:val="00AD3CDD"/>
    <w:rsid w:val="00AE042B"/>
    <w:rsid w:val="00AE142B"/>
    <w:rsid w:val="00AF32EE"/>
    <w:rsid w:val="00AF7C63"/>
    <w:rsid w:val="00B00CDB"/>
    <w:rsid w:val="00B048E0"/>
    <w:rsid w:val="00B25D4D"/>
    <w:rsid w:val="00B44B03"/>
    <w:rsid w:val="00B45112"/>
    <w:rsid w:val="00B454F6"/>
    <w:rsid w:val="00B4579D"/>
    <w:rsid w:val="00B5585D"/>
    <w:rsid w:val="00B61FB9"/>
    <w:rsid w:val="00B71405"/>
    <w:rsid w:val="00B749C3"/>
    <w:rsid w:val="00B75DC9"/>
    <w:rsid w:val="00B82D98"/>
    <w:rsid w:val="00B94321"/>
    <w:rsid w:val="00B95FCB"/>
    <w:rsid w:val="00B96080"/>
    <w:rsid w:val="00BA00BE"/>
    <w:rsid w:val="00BA7096"/>
    <w:rsid w:val="00BE2257"/>
    <w:rsid w:val="00C02989"/>
    <w:rsid w:val="00C076C7"/>
    <w:rsid w:val="00C13313"/>
    <w:rsid w:val="00C21E86"/>
    <w:rsid w:val="00C35E39"/>
    <w:rsid w:val="00C61D74"/>
    <w:rsid w:val="00C75A17"/>
    <w:rsid w:val="00C81666"/>
    <w:rsid w:val="00C83434"/>
    <w:rsid w:val="00C83EAA"/>
    <w:rsid w:val="00C93F0D"/>
    <w:rsid w:val="00C94943"/>
    <w:rsid w:val="00C96469"/>
    <w:rsid w:val="00CA6625"/>
    <w:rsid w:val="00CB0819"/>
    <w:rsid w:val="00CB1A7C"/>
    <w:rsid w:val="00CB4058"/>
    <w:rsid w:val="00CC5B40"/>
    <w:rsid w:val="00CE3F90"/>
    <w:rsid w:val="00D01F6B"/>
    <w:rsid w:val="00D0313F"/>
    <w:rsid w:val="00D07879"/>
    <w:rsid w:val="00D1756D"/>
    <w:rsid w:val="00D27E77"/>
    <w:rsid w:val="00D374F1"/>
    <w:rsid w:val="00D65CBB"/>
    <w:rsid w:val="00D67B56"/>
    <w:rsid w:val="00D816ED"/>
    <w:rsid w:val="00D851F6"/>
    <w:rsid w:val="00DA582B"/>
    <w:rsid w:val="00DD44E5"/>
    <w:rsid w:val="00DE3216"/>
    <w:rsid w:val="00E04B24"/>
    <w:rsid w:val="00E06E04"/>
    <w:rsid w:val="00E07ED9"/>
    <w:rsid w:val="00E11A0F"/>
    <w:rsid w:val="00E25473"/>
    <w:rsid w:val="00E40244"/>
    <w:rsid w:val="00E411D1"/>
    <w:rsid w:val="00E430E7"/>
    <w:rsid w:val="00E43BB4"/>
    <w:rsid w:val="00E5095B"/>
    <w:rsid w:val="00E57E61"/>
    <w:rsid w:val="00E60509"/>
    <w:rsid w:val="00E644EC"/>
    <w:rsid w:val="00EA1E33"/>
    <w:rsid w:val="00EB489A"/>
    <w:rsid w:val="00EB515D"/>
    <w:rsid w:val="00F0049A"/>
    <w:rsid w:val="00F23F2F"/>
    <w:rsid w:val="00F31351"/>
    <w:rsid w:val="00F31B06"/>
    <w:rsid w:val="00F36EB5"/>
    <w:rsid w:val="00F43581"/>
    <w:rsid w:val="00F4530F"/>
    <w:rsid w:val="00F45B22"/>
    <w:rsid w:val="00F5225D"/>
    <w:rsid w:val="00F52E02"/>
    <w:rsid w:val="00F54466"/>
    <w:rsid w:val="00F73E22"/>
    <w:rsid w:val="00F8198A"/>
    <w:rsid w:val="00F908F6"/>
    <w:rsid w:val="00F935F1"/>
    <w:rsid w:val="00F95583"/>
    <w:rsid w:val="00F974C6"/>
    <w:rsid w:val="00F97E40"/>
    <w:rsid w:val="00FA0456"/>
    <w:rsid w:val="00FB1B37"/>
    <w:rsid w:val="00FB4399"/>
    <w:rsid w:val="00FC2EBF"/>
    <w:rsid w:val="00FC49E8"/>
    <w:rsid w:val="00FF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unhideWhenUsed/>
    <w:rsid w:val="006849A2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A05BAD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F2B51"/>
  </w:style>
  <w:style w:type="character" w:customStyle="1" w:styleId="ref-journal">
    <w:name w:val="ref-journal"/>
    <w:rsid w:val="006F2B51"/>
  </w:style>
  <w:style w:type="character" w:customStyle="1" w:styleId="ref-vol">
    <w:name w:val="ref-vol"/>
    <w:rsid w:val="006F2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unhideWhenUsed/>
    <w:rsid w:val="006849A2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A05BAD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F2B51"/>
  </w:style>
  <w:style w:type="character" w:customStyle="1" w:styleId="ref-journal">
    <w:name w:val="ref-journal"/>
    <w:rsid w:val="006F2B51"/>
  </w:style>
  <w:style w:type="character" w:customStyle="1" w:styleId="ref-vol">
    <w:name w:val="ref-vol"/>
    <w:rsid w:val="006F2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hart" Target="charts/chart1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staren\Dropbox\research\sodium\near%20final%20folder\fin\3DOVERLAP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2769183429029735E-2"/>
          <c:y val="0.16287400346780731"/>
          <c:w val="0.92225501904709006"/>
          <c:h val="0.897266978845926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Sheet2!$C$26</c:f>
              <c:strCache>
                <c:ptCount val="1"/>
                <c:pt idx="0">
                  <c:v>% Difference NTG</c:v>
                </c:pt>
              </c:strCache>
            </c:strRef>
          </c:tx>
          <c:invertIfNegative val="0"/>
          <c:errBars>
            <c:errBarType val="minus"/>
            <c:errValType val="cust"/>
            <c:noEndCap val="0"/>
            <c:plus>
              <c:numRef>
                <c:f>Sheet2!$F$27:$F$34</c:f>
                <c:numCache>
                  <c:formatCode>General</c:formatCode>
                  <c:ptCount val="8"/>
                  <c:pt idx="0">
                    <c:v>10.680075147275499</c:v>
                  </c:pt>
                  <c:pt idx="1">
                    <c:v>9.1393433812515106</c:v>
                  </c:pt>
                  <c:pt idx="2">
                    <c:v>9.9840626947194195</c:v>
                  </c:pt>
                  <c:pt idx="3">
                    <c:v>8.2461378384275221</c:v>
                  </c:pt>
                  <c:pt idx="4">
                    <c:v>10.659668110714573</c:v>
                  </c:pt>
                  <c:pt idx="5">
                    <c:v>13.924752284932113</c:v>
                  </c:pt>
                  <c:pt idx="6">
                    <c:v>8.2661949717305188</c:v>
                  </c:pt>
                  <c:pt idx="7">
                    <c:v>7.6586695901119652</c:v>
                  </c:pt>
                </c:numCache>
              </c:numRef>
            </c:plus>
            <c:minus>
              <c:numRef>
                <c:f>Sheet2!$F$27:$F$34</c:f>
                <c:numCache>
                  <c:formatCode>General</c:formatCode>
                  <c:ptCount val="8"/>
                  <c:pt idx="0">
                    <c:v>10.680075147275499</c:v>
                  </c:pt>
                  <c:pt idx="1">
                    <c:v>9.1393433812515106</c:v>
                  </c:pt>
                  <c:pt idx="2">
                    <c:v>9.9840626947194195</c:v>
                  </c:pt>
                  <c:pt idx="3">
                    <c:v>8.2461378384275221</c:v>
                  </c:pt>
                  <c:pt idx="4">
                    <c:v>10.659668110714573</c:v>
                  </c:pt>
                  <c:pt idx="5">
                    <c:v>13.924752284932113</c:v>
                  </c:pt>
                  <c:pt idx="6">
                    <c:v>8.2661949717305188</c:v>
                  </c:pt>
                  <c:pt idx="7">
                    <c:v>7.6586695901119652</c:v>
                  </c:pt>
                </c:numCache>
              </c:numRef>
            </c:minus>
          </c:errBars>
          <c:cat>
            <c:strRef>
              <c:f>Sheet2!$B$27:$B$34</c:f>
              <c:strCache>
                <c:ptCount val="8"/>
                <c:pt idx="0">
                  <c:v>eyes</c:v>
                </c:pt>
                <c:pt idx="1">
                  <c:v>olf</c:v>
                </c:pt>
                <c:pt idx="2">
                  <c:v>hippo</c:v>
                </c:pt>
                <c:pt idx="3">
                  <c:v>cc</c:v>
                </c:pt>
                <c:pt idx="4">
                  <c:v>cerebellum</c:v>
                </c:pt>
                <c:pt idx="5">
                  <c:v>brainstem</c:v>
                </c:pt>
                <c:pt idx="6">
                  <c:v>neocortex</c:v>
                </c:pt>
                <c:pt idx="7">
                  <c:v>ventricular</c:v>
                </c:pt>
              </c:strCache>
            </c:strRef>
          </c:cat>
          <c:val>
            <c:numRef>
              <c:f>Sheet2!$C$27:$C$34</c:f>
              <c:numCache>
                <c:formatCode>General</c:formatCode>
                <c:ptCount val="8"/>
                <c:pt idx="0">
                  <c:v>-21.367098687588054</c:v>
                </c:pt>
                <c:pt idx="1">
                  <c:v>-23.967172686582273</c:v>
                </c:pt>
                <c:pt idx="2">
                  <c:v>-21.232877023313602</c:v>
                </c:pt>
                <c:pt idx="3">
                  <c:v>-21.653613361296586</c:v>
                </c:pt>
                <c:pt idx="4">
                  <c:v>-21.17535489022692</c:v>
                </c:pt>
                <c:pt idx="5">
                  <c:v>-19.230561082528943</c:v>
                </c:pt>
                <c:pt idx="6">
                  <c:v>-21.744504994530114</c:v>
                </c:pt>
                <c:pt idx="7">
                  <c:v>-24.697988214249122</c:v>
                </c:pt>
              </c:numCache>
            </c:numRef>
          </c:val>
        </c:ser>
        <c:ser>
          <c:idx val="1"/>
          <c:order val="1"/>
          <c:tx>
            <c:strRef>
              <c:f>Sheet2!$D$26</c:f>
              <c:strCache>
                <c:ptCount val="1"/>
                <c:pt idx="0">
                  <c:v>%Difference Saline</c:v>
                </c:pt>
              </c:strCache>
            </c:strRef>
          </c:tx>
          <c:invertIfNegative val="0"/>
          <c:errBars>
            <c:errBarType val="minus"/>
            <c:errValType val="cust"/>
            <c:noEndCap val="0"/>
            <c:plus>
              <c:numRef>
                <c:f>Sheet2!$G$27:$G$34</c:f>
                <c:numCache>
                  <c:formatCode>General</c:formatCode>
                  <c:ptCount val="8"/>
                  <c:pt idx="0">
                    <c:v>14.299490579758633</c:v>
                  </c:pt>
                  <c:pt idx="1">
                    <c:v>7.8825797572511123</c:v>
                  </c:pt>
                  <c:pt idx="2">
                    <c:v>8.9435828192588804</c:v>
                  </c:pt>
                  <c:pt idx="3">
                    <c:v>9.5913773354107956</c:v>
                  </c:pt>
                  <c:pt idx="4">
                    <c:v>14.200190122471689</c:v>
                  </c:pt>
                  <c:pt idx="5">
                    <c:v>13.184208346576423</c:v>
                  </c:pt>
                  <c:pt idx="6">
                    <c:v>13.725102993350417</c:v>
                  </c:pt>
                  <c:pt idx="7">
                    <c:v>15.782286334508672</c:v>
                  </c:pt>
                </c:numCache>
              </c:numRef>
            </c:plus>
            <c:minus>
              <c:numRef>
                <c:f>Sheet2!$G$27:$G$34</c:f>
                <c:numCache>
                  <c:formatCode>General</c:formatCode>
                  <c:ptCount val="8"/>
                  <c:pt idx="0">
                    <c:v>14.299490579758633</c:v>
                  </c:pt>
                  <c:pt idx="1">
                    <c:v>7.8825797572511123</c:v>
                  </c:pt>
                  <c:pt idx="2">
                    <c:v>8.9435828192588804</c:v>
                  </c:pt>
                  <c:pt idx="3">
                    <c:v>9.5913773354107956</c:v>
                  </c:pt>
                  <c:pt idx="4">
                    <c:v>14.200190122471689</c:v>
                  </c:pt>
                  <c:pt idx="5">
                    <c:v>13.184208346576423</c:v>
                  </c:pt>
                  <c:pt idx="6">
                    <c:v>13.725102993350417</c:v>
                  </c:pt>
                  <c:pt idx="7">
                    <c:v>15.782286334508672</c:v>
                  </c:pt>
                </c:numCache>
              </c:numRef>
            </c:minus>
          </c:errBars>
          <c:cat>
            <c:strRef>
              <c:f>Sheet2!$B$27:$B$34</c:f>
              <c:strCache>
                <c:ptCount val="8"/>
                <c:pt idx="0">
                  <c:v>eyes</c:v>
                </c:pt>
                <c:pt idx="1">
                  <c:v>olf</c:v>
                </c:pt>
                <c:pt idx="2">
                  <c:v>hippo</c:v>
                </c:pt>
                <c:pt idx="3">
                  <c:v>cc</c:v>
                </c:pt>
                <c:pt idx="4">
                  <c:v>cerebellum</c:v>
                </c:pt>
                <c:pt idx="5">
                  <c:v>brainstem</c:v>
                </c:pt>
                <c:pt idx="6">
                  <c:v>neocortex</c:v>
                </c:pt>
                <c:pt idx="7">
                  <c:v>ventricular</c:v>
                </c:pt>
              </c:strCache>
            </c:strRef>
          </c:cat>
          <c:val>
            <c:numRef>
              <c:f>Sheet2!$D$27:$D$34</c:f>
              <c:numCache>
                <c:formatCode>General</c:formatCode>
                <c:ptCount val="8"/>
                <c:pt idx="0">
                  <c:v>-23.550220418341176</c:v>
                </c:pt>
                <c:pt idx="1">
                  <c:v>-17.31253364199927</c:v>
                </c:pt>
                <c:pt idx="2">
                  <c:v>-16.975809214153372</c:v>
                </c:pt>
                <c:pt idx="3">
                  <c:v>-15.283124051753568</c:v>
                </c:pt>
                <c:pt idx="4">
                  <c:v>-20.948166302758246</c:v>
                </c:pt>
                <c:pt idx="5">
                  <c:v>-17.222587364984172</c:v>
                </c:pt>
                <c:pt idx="6">
                  <c:v>-18.978427472467196</c:v>
                </c:pt>
                <c:pt idx="7">
                  <c:v>-27.405503080774377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3820800"/>
        <c:axId val="263822336"/>
      </c:barChart>
      <c:catAx>
        <c:axId val="263820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high"/>
        <c:txPr>
          <a:bodyPr/>
          <a:lstStyle/>
          <a:p>
            <a:pPr>
              <a:defRPr sz="600"/>
            </a:pPr>
            <a:endParaRPr lang="en-US"/>
          </a:p>
        </c:txPr>
        <c:crossAx val="263822336"/>
        <c:crosses val="autoZero"/>
        <c:auto val="1"/>
        <c:lblAlgn val="ctr"/>
        <c:lblOffset val="0"/>
        <c:noMultiLvlLbl val="0"/>
      </c:catAx>
      <c:valAx>
        <c:axId val="2638223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63820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4951942954033404"/>
          <c:y val="0.74359712215623786"/>
          <c:w val="0.52087969625476915"/>
          <c:h val="0.1737991173375204"/>
        </c:manualLayout>
      </c:layout>
      <c:overlay val="0"/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D054EE3-BFB1-4FFF-8F21-C747901BEF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NHMFL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Grant</dc:creator>
  <cp:lastModifiedBy>Anke Toth</cp:lastModifiedBy>
  <cp:revision>4</cp:revision>
  <cp:lastPrinted>2015-07-15T21:10:00Z</cp:lastPrinted>
  <dcterms:created xsi:type="dcterms:W3CDTF">2016-02-10T19:49:00Z</dcterms:created>
  <dcterms:modified xsi:type="dcterms:W3CDTF">2016-02-10T19:50:00Z</dcterms:modified>
</cp:coreProperties>
</file>