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9" w:rsidRPr="003B7E29" w:rsidRDefault="003B7E29" w:rsidP="003B7E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4"/>
          <w:lang w:eastAsia="en-US"/>
        </w:rPr>
      </w:pPr>
      <w:r w:rsidRPr="003B7E29">
        <w:rPr>
          <w:rFonts w:ascii="Arial" w:hAnsi="Arial" w:cs="Arial"/>
          <w:b/>
          <w:szCs w:val="34"/>
          <w:lang w:eastAsia="en-US"/>
        </w:rPr>
        <w:t xml:space="preserve">An </w:t>
      </w:r>
      <w:r w:rsidR="00AE4763" w:rsidRPr="003B7E29">
        <w:rPr>
          <w:rFonts w:ascii="Arial" w:hAnsi="Arial" w:cs="Arial"/>
          <w:b/>
          <w:szCs w:val="34"/>
          <w:lang w:eastAsia="en-US"/>
        </w:rPr>
        <w:t>Ultrahigh-Reso</w:t>
      </w:r>
      <w:r w:rsidR="00AE4763">
        <w:rPr>
          <w:rFonts w:ascii="Arial" w:hAnsi="Arial" w:cs="Arial"/>
          <w:b/>
          <w:szCs w:val="34"/>
          <w:lang w:eastAsia="en-US"/>
        </w:rPr>
        <w:t>lution Mass Spectrometry Index t</w:t>
      </w:r>
      <w:r w:rsidR="00AE4763" w:rsidRPr="003B7E29">
        <w:rPr>
          <w:rFonts w:ascii="Arial" w:hAnsi="Arial" w:cs="Arial"/>
          <w:b/>
          <w:szCs w:val="34"/>
          <w:lang w:eastAsia="en-US"/>
        </w:rPr>
        <w:t>o Estimate</w:t>
      </w:r>
    </w:p>
    <w:p w:rsidR="003E2F8E" w:rsidRDefault="00AE4763" w:rsidP="003B7E29">
      <w:pPr>
        <w:tabs>
          <w:tab w:val="left" w:pos="360"/>
        </w:tabs>
        <w:jc w:val="center"/>
        <w:rPr>
          <w:rFonts w:ascii="Arial" w:hAnsi="Arial" w:cs="Arial"/>
          <w:b/>
          <w:szCs w:val="34"/>
          <w:lang w:eastAsia="en-US"/>
        </w:rPr>
      </w:pPr>
      <w:r w:rsidRPr="003B7E29">
        <w:rPr>
          <w:rFonts w:ascii="Arial" w:hAnsi="Arial" w:cs="Arial"/>
          <w:b/>
          <w:szCs w:val="34"/>
          <w:lang w:eastAsia="en-US"/>
        </w:rPr>
        <w:t>Natural Organic Matter Lability</w:t>
      </w:r>
    </w:p>
    <w:p w:rsidR="003B7E29" w:rsidRPr="006E065A" w:rsidRDefault="003B7E29" w:rsidP="003B7E29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</w:p>
    <w:p w:rsidR="00A94FC4" w:rsidRPr="006B3824" w:rsidRDefault="003B7E2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E7E09">
        <w:rPr>
          <w:rFonts w:ascii="Arial" w:hAnsi="Arial" w:cs="Arial"/>
          <w:sz w:val="20"/>
          <w:szCs w:val="20"/>
        </w:rPr>
        <w:t>D’Andrilli, J.</w:t>
      </w:r>
      <w:r>
        <w:rPr>
          <w:rFonts w:ascii="Arial" w:hAnsi="Arial" w:cs="Arial"/>
          <w:sz w:val="20"/>
          <w:szCs w:val="20"/>
        </w:rPr>
        <w:t xml:space="preserve"> </w:t>
      </w:r>
      <w:r w:rsidR="00A94FC4" w:rsidRPr="006B38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Montana State University,</w:t>
      </w:r>
      <w:r w:rsidR="00A94FC4" w:rsidRPr="006B3824">
        <w:rPr>
          <w:rFonts w:ascii="Arial" w:hAnsi="Arial" w:cs="Arial"/>
          <w:sz w:val="20"/>
          <w:szCs w:val="20"/>
        </w:rPr>
        <w:t xml:space="preserve"> </w:t>
      </w:r>
      <w:r w:rsidR="0015485A">
        <w:rPr>
          <w:rFonts w:ascii="Arial" w:hAnsi="Arial" w:cs="Arial"/>
          <w:sz w:val="20"/>
          <w:szCs w:val="20"/>
        </w:rPr>
        <w:t>ChBE and</w:t>
      </w:r>
      <w:r>
        <w:rPr>
          <w:rFonts w:ascii="Arial" w:hAnsi="Arial" w:cs="Arial"/>
          <w:sz w:val="20"/>
          <w:szCs w:val="20"/>
        </w:rPr>
        <w:t xml:space="preserve"> CBE)</w:t>
      </w:r>
      <w:r w:rsidR="00A94FC4" w:rsidRPr="006B3824">
        <w:rPr>
          <w:rFonts w:ascii="Arial" w:hAnsi="Arial" w:cs="Arial"/>
          <w:sz w:val="20"/>
          <w:szCs w:val="20"/>
        </w:rPr>
        <w:t xml:space="preserve">; </w:t>
      </w:r>
      <w:r w:rsidRPr="00CE7E09">
        <w:rPr>
          <w:rFonts w:ascii="Arial" w:hAnsi="Arial" w:cs="Arial"/>
          <w:sz w:val="20"/>
          <w:szCs w:val="20"/>
        </w:rPr>
        <w:t>Cooper, W.T.</w:t>
      </w:r>
      <w:r>
        <w:rPr>
          <w:rFonts w:ascii="Arial" w:hAnsi="Arial" w:cs="Arial"/>
          <w:sz w:val="20"/>
          <w:szCs w:val="20"/>
        </w:rPr>
        <w:t xml:space="preserve"> </w:t>
      </w:r>
      <w:r w:rsidR="00A94FC4" w:rsidRPr="006B38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FSU, Chemistry</w:t>
      </w:r>
      <w:r w:rsidR="00A94FC4" w:rsidRPr="006B3824">
        <w:rPr>
          <w:rFonts w:ascii="Arial" w:hAnsi="Arial" w:cs="Arial"/>
          <w:sz w:val="20"/>
          <w:szCs w:val="20"/>
        </w:rPr>
        <w:t xml:space="preserve">); </w:t>
      </w:r>
      <w:r>
        <w:rPr>
          <w:rFonts w:ascii="Arial" w:hAnsi="Arial" w:cs="Arial"/>
          <w:sz w:val="20"/>
          <w:szCs w:val="20"/>
          <w:u w:val="single"/>
        </w:rPr>
        <w:t>Foreman, C.M.</w:t>
      </w:r>
      <w:r w:rsidR="0015485A">
        <w:rPr>
          <w:rFonts w:ascii="Arial" w:hAnsi="Arial" w:cs="Arial"/>
          <w:sz w:val="20"/>
          <w:szCs w:val="20"/>
        </w:rPr>
        <w:t xml:space="preserve"> (MSU, ChBE and</w:t>
      </w:r>
      <w:r>
        <w:rPr>
          <w:rFonts w:ascii="Arial" w:hAnsi="Arial" w:cs="Arial"/>
          <w:sz w:val="20"/>
          <w:szCs w:val="20"/>
        </w:rPr>
        <w:t xml:space="preserve"> CBE)</w:t>
      </w:r>
      <w:r w:rsidR="00AE476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CE7E09">
        <w:rPr>
          <w:rFonts w:ascii="Arial" w:hAnsi="Arial" w:cs="Arial"/>
          <w:sz w:val="20"/>
          <w:szCs w:val="20"/>
        </w:rPr>
        <w:t>Marshall, A.G.</w:t>
      </w:r>
      <w:r>
        <w:rPr>
          <w:rFonts w:ascii="Arial" w:hAnsi="Arial" w:cs="Arial"/>
          <w:sz w:val="20"/>
          <w:szCs w:val="20"/>
        </w:rPr>
        <w:t xml:space="preserve"> (NHMFL</w:t>
      </w:r>
      <w:r w:rsidR="0015485A">
        <w:rPr>
          <w:rFonts w:ascii="Arial" w:hAnsi="Arial" w:cs="Arial"/>
          <w:sz w:val="20"/>
          <w:szCs w:val="20"/>
        </w:rPr>
        <w:t>,</w:t>
      </w:r>
      <w:r w:rsidR="00B47740">
        <w:rPr>
          <w:rFonts w:ascii="Arial" w:hAnsi="Arial" w:cs="Arial"/>
          <w:sz w:val="20"/>
          <w:szCs w:val="20"/>
        </w:rPr>
        <w:t xml:space="preserve"> ICR</w:t>
      </w:r>
      <w:r w:rsidR="0015485A">
        <w:rPr>
          <w:rFonts w:ascii="Arial" w:hAnsi="Arial" w:cs="Arial"/>
          <w:sz w:val="20"/>
          <w:szCs w:val="20"/>
        </w:rPr>
        <w:t>;</w:t>
      </w:r>
      <w:r w:rsidR="00B47740">
        <w:rPr>
          <w:rFonts w:ascii="Arial" w:hAnsi="Arial" w:cs="Arial"/>
          <w:sz w:val="20"/>
          <w:szCs w:val="20"/>
        </w:rPr>
        <w:t xml:space="preserve"> FSU</w:t>
      </w:r>
      <w:r w:rsidR="0015485A">
        <w:rPr>
          <w:rFonts w:ascii="Arial" w:hAnsi="Arial" w:cs="Arial"/>
          <w:sz w:val="20"/>
          <w:szCs w:val="20"/>
        </w:rPr>
        <w:t>,</w:t>
      </w:r>
      <w:r w:rsidR="00B47740">
        <w:rPr>
          <w:rFonts w:ascii="Arial" w:hAnsi="Arial" w:cs="Arial"/>
          <w:sz w:val="20"/>
          <w:szCs w:val="20"/>
        </w:rPr>
        <w:t xml:space="preserve"> Chemistry)</w:t>
      </w:r>
    </w:p>
    <w:p w:rsidR="00A94FC4" w:rsidRPr="006E065A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A94FC4" w:rsidRPr="006E065A" w:rsidRDefault="00A94FC4" w:rsidP="0049187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1B56BE" w:rsidRDefault="00AE4763" w:rsidP="00AE4763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35F1" w:rsidRPr="00A146C3">
        <w:rPr>
          <w:rFonts w:ascii="Arial" w:hAnsi="Arial" w:cs="Arial"/>
          <w:color w:val="000000" w:themeColor="text1"/>
          <w:sz w:val="20"/>
          <w:szCs w:val="20"/>
        </w:rPr>
        <w:t>D</w:t>
      </w:r>
      <w:r w:rsidR="007135F1" w:rsidRPr="00A146C3">
        <w:rPr>
          <w:rFonts w:ascii="Arial" w:hAnsi="Arial" w:cs="Arial"/>
          <w:sz w:val="20"/>
          <w:szCs w:val="20"/>
        </w:rPr>
        <w:t>etermining the chemical constituents of natural organic matter (NOM) by Fourier Transform Ion Cyclotron Resonance Mass Spectrometry (FT-ICR MS) remains the ultimate measure for probing OM source mat</w:t>
      </w:r>
      <w:r w:rsidR="006E065A">
        <w:rPr>
          <w:rFonts w:ascii="Arial" w:hAnsi="Arial" w:cs="Arial"/>
          <w:sz w:val="20"/>
          <w:szCs w:val="20"/>
        </w:rPr>
        <w:t>erial, evolution, and transport. H</w:t>
      </w:r>
      <w:r w:rsidR="007135F1" w:rsidRPr="00A146C3">
        <w:rPr>
          <w:rFonts w:ascii="Arial" w:hAnsi="Arial" w:cs="Arial"/>
          <w:sz w:val="20"/>
          <w:szCs w:val="20"/>
        </w:rPr>
        <w:t xml:space="preserve">owever, lability and the fate of OM in the environment remains a </w:t>
      </w:r>
      <w:r w:rsidR="007135F1" w:rsidRPr="00A146C3">
        <w:rPr>
          <w:rFonts w:ascii="Arial" w:hAnsi="Arial" w:cs="Arial"/>
          <w:color w:val="000000" w:themeColor="text1"/>
          <w:sz w:val="20"/>
          <w:szCs w:val="20"/>
        </w:rPr>
        <w:t xml:space="preserve">controversy. </w:t>
      </w:r>
      <w:r w:rsidR="007135F1" w:rsidRPr="00A146C3">
        <w:rPr>
          <w:rFonts w:ascii="Arial" w:hAnsi="Arial" w:cs="Arial"/>
          <w:sz w:val="20"/>
          <w:szCs w:val="20"/>
        </w:rPr>
        <w:t xml:space="preserve">FT-ICR </w:t>
      </w:r>
      <w:r w:rsidR="007135F1" w:rsidRPr="00A146C3">
        <w:rPr>
          <w:rFonts w:ascii="Arial" w:hAnsi="Arial" w:cs="Arial"/>
          <w:color w:val="000000" w:themeColor="text1"/>
          <w:sz w:val="20"/>
          <w:szCs w:val="20"/>
        </w:rPr>
        <w:t xml:space="preserve">MS-derived elemental compositions are presented in this study to validate a new interpretative method to determine the extent of NOM lability from various environments. FT-ICR MS data </w:t>
      </w:r>
      <w:r w:rsidR="002908EE">
        <w:rPr>
          <w:rFonts w:ascii="Arial" w:hAnsi="Arial" w:cs="Arial"/>
          <w:color w:val="000000" w:themeColor="text1"/>
          <w:sz w:val="20"/>
          <w:szCs w:val="20"/>
        </w:rPr>
        <w:t xml:space="preserve">including 35 samples </w:t>
      </w:r>
      <w:r w:rsidR="006E065A">
        <w:rPr>
          <w:rFonts w:ascii="Arial" w:hAnsi="Arial" w:cs="Arial"/>
          <w:color w:val="000000" w:themeColor="text1"/>
          <w:sz w:val="20"/>
          <w:szCs w:val="20"/>
        </w:rPr>
        <w:t>analyz</w:t>
      </w:r>
      <w:r w:rsidR="007135F1" w:rsidRPr="00A146C3">
        <w:rPr>
          <w:rFonts w:ascii="Arial" w:hAnsi="Arial" w:cs="Arial"/>
          <w:color w:val="000000" w:themeColor="text1"/>
          <w:sz w:val="20"/>
          <w:szCs w:val="20"/>
        </w:rPr>
        <w:t>ed over the last decade from the same 9.4 tesla instrument was used to validate the application of a NOM lability index</w:t>
      </w:r>
      <w:r w:rsidR="00A20875">
        <w:rPr>
          <w:rFonts w:ascii="Arial" w:hAnsi="Arial" w:cs="Arial"/>
          <w:color w:val="000000" w:themeColor="text1"/>
          <w:sz w:val="20"/>
          <w:szCs w:val="20"/>
        </w:rPr>
        <w:t xml:space="preserve"> incorporating marine, freshwater, and glacial ecosystems</w:t>
      </w:r>
      <w:r w:rsidR="007135F1" w:rsidRPr="00A146C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146C3" w:rsidRPr="00A146C3">
        <w:rPr>
          <w:rFonts w:ascii="Arial" w:hAnsi="Arial" w:cs="Arial"/>
          <w:color w:val="000000" w:themeColor="text1"/>
          <w:sz w:val="20"/>
          <w:szCs w:val="20"/>
        </w:rPr>
        <w:t xml:space="preserve">A molecular lability boundary (MLB) was developed from the FT-ICR MS molecular data, visualized from van Krevelen diagrams, </w:t>
      </w:r>
      <w:r w:rsidR="00A146C3" w:rsidRPr="003F1385">
        <w:rPr>
          <w:rFonts w:ascii="Arial" w:hAnsi="Arial" w:cs="Arial"/>
          <w:color w:val="000000" w:themeColor="text1"/>
          <w:sz w:val="20"/>
          <w:szCs w:val="20"/>
        </w:rPr>
        <w:t xml:space="preserve">dividing the data into more and less labile constituents. </w:t>
      </w:r>
      <w:r w:rsidR="003F1385" w:rsidRPr="003F1385">
        <w:rPr>
          <w:rFonts w:ascii="Arial" w:hAnsi="Arial" w:cs="Arial"/>
          <w:sz w:val="20"/>
          <w:szCs w:val="20"/>
        </w:rPr>
        <w:t xml:space="preserve">The concept of an FT-ICR MS molecular lability boundary (MLB) is based on our current understanding of van Krevelen </w:t>
      </w:r>
      <w:r w:rsidR="003F1385" w:rsidRPr="003F1385">
        <w:rPr>
          <w:rFonts w:ascii="Arial" w:hAnsi="Arial" w:cs="Arial"/>
          <w:color w:val="000000" w:themeColor="text1"/>
          <w:sz w:val="20"/>
          <w:szCs w:val="20"/>
        </w:rPr>
        <w:t xml:space="preserve">diagrams, incorporating chemical information depicted by various H/C and O/C ratios and the relative boundaries of each chemical class region. Chemical </w:t>
      </w:r>
      <w:r w:rsidR="00A146C3" w:rsidRPr="003F1385">
        <w:rPr>
          <w:rFonts w:ascii="Arial" w:hAnsi="Arial" w:cs="Arial"/>
          <w:color w:val="000000" w:themeColor="text1"/>
          <w:sz w:val="20"/>
          <w:szCs w:val="20"/>
        </w:rPr>
        <w:t>NOM</w:t>
      </w:r>
      <w:r w:rsidR="00A146C3" w:rsidRPr="00A146C3">
        <w:rPr>
          <w:rFonts w:ascii="Arial" w:hAnsi="Arial" w:cs="Arial"/>
          <w:color w:val="000000" w:themeColor="text1"/>
          <w:sz w:val="20"/>
          <w:szCs w:val="20"/>
        </w:rPr>
        <w:t xml:space="preserve"> constituents above the MLB at H/C ≥ 1.5 correspond to more labile material</w:t>
      </w:r>
      <w:r w:rsidR="00A20875">
        <w:rPr>
          <w:rFonts w:ascii="Arial" w:hAnsi="Arial" w:cs="Arial"/>
          <w:color w:val="000000" w:themeColor="text1"/>
          <w:sz w:val="20"/>
          <w:szCs w:val="20"/>
        </w:rPr>
        <w:t xml:space="preserve"> (shaded region of Figure </w:t>
      </w:r>
      <w:r w:rsidR="00121182">
        <w:rPr>
          <w:rFonts w:ascii="Arial" w:hAnsi="Arial" w:cs="Arial"/>
          <w:color w:val="000000" w:themeColor="text1"/>
          <w:sz w:val="20"/>
          <w:szCs w:val="20"/>
        </w:rPr>
        <w:t>1</w:t>
      </w:r>
      <w:r w:rsidR="00A20875">
        <w:rPr>
          <w:rFonts w:ascii="Arial" w:hAnsi="Arial" w:cs="Arial"/>
          <w:color w:val="000000" w:themeColor="text1"/>
          <w:sz w:val="20"/>
          <w:szCs w:val="20"/>
        </w:rPr>
        <w:t>)</w:t>
      </w:r>
      <w:r w:rsidR="00A146C3" w:rsidRPr="00A146C3">
        <w:rPr>
          <w:rFonts w:ascii="Arial" w:hAnsi="Arial" w:cs="Arial"/>
          <w:color w:val="000000" w:themeColor="text1"/>
          <w:sz w:val="20"/>
          <w:szCs w:val="20"/>
        </w:rPr>
        <w:t xml:space="preserve">, whereas NOM below the MLB, H/C &lt; 1.5, exhibits less labile, more recalcitrant character. </w:t>
      </w:r>
    </w:p>
    <w:p w:rsidR="00A20875" w:rsidRPr="006E065A" w:rsidRDefault="00A20875" w:rsidP="001B56BE">
      <w:pPr>
        <w:tabs>
          <w:tab w:val="left" w:pos="63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1B56BE" w:rsidRDefault="00A20875" w:rsidP="001B56BE">
      <w:pPr>
        <w:tabs>
          <w:tab w:val="left" w:pos="63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776" behindDoc="1" locked="0" layoutInCell="1" allowOverlap="1" wp14:anchorId="15C96679" wp14:editId="6A6CE767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589020" cy="2733040"/>
            <wp:effectExtent l="0" t="0" r="0" b="0"/>
            <wp:wrapTight wrapText="bothSides">
              <wp:wrapPolygon edited="0">
                <wp:start x="573" y="151"/>
                <wp:lineTo x="229" y="753"/>
                <wp:lineTo x="229" y="1054"/>
                <wp:lineTo x="1261" y="2861"/>
                <wp:lineTo x="573" y="4818"/>
                <wp:lineTo x="573" y="6173"/>
                <wp:lineTo x="1605" y="7678"/>
                <wp:lineTo x="1146" y="7678"/>
                <wp:lineTo x="1146" y="8883"/>
                <wp:lineTo x="1605" y="10087"/>
                <wp:lineTo x="229" y="10087"/>
                <wp:lineTo x="229" y="10840"/>
                <wp:lineTo x="1720" y="12496"/>
                <wp:lineTo x="1605" y="12496"/>
                <wp:lineTo x="459" y="14755"/>
                <wp:lineTo x="459" y="15809"/>
                <wp:lineTo x="1261" y="17314"/>
                <wp:lineTo x="1720" y="17314"/>
                <wp:lineTo x="1146" y="18067"/>
                <wp:lineTo x="1376" y="20476"/>
                <wp:lineTo x="3669" y="21229"/>
                <wp:lineTo x="5618" y="21379"/>
                <wp:lineTo x="17541" y="21379"/>
                <wp:lineTo x="21439" y="20626"/>
                <wp:lineTo x="21439" y="1355"/>
                <wp:lineTo x="20981" y="1204"/>
                <wp:lineTo x="11580" y="151"/>
                <wp:lineTo x="573" y="15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_1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763" w:rsidRDefault="00AE4763" w:rsidP="00CE7E09">
      <w:pPr>
        <w:tabs>
          <w:tab w:val="left" w:pos="630"/>
        </w:tabs>
        <w:jc w:val="both"/>
        <w:rPr>
          <w:rFonts w:ascii="Arial" w:hAnsi="Arial" w:cs="Arial"/>
          <w:b/>
          <w:sz w:val="18"/>
          <w:szCs w:val="18"/>
        </w:rPr>
      </w:pPr>
    </w:p>
    <w:p w:rsidR="00AE4763" w:rsidRDefault="00AE4763" w:rsidP="00CE7E09">
      <w:pPr>
        <w:tabs>
          <w:tab w:val="left" w:pos="630"/>
        </w:tabs>
        <w:jc w:val="both"/>
        <w:rPr>
          <w:rFonts w:ascii="Arial" w:hAnsi="Arial" w:cs="Arial"/>
          <w:b/>
          <w:sz w:val="18"/>
          <w:szCs w:val="18"/>
        </w:rPr>
      </w:pPr>
    </w:p>
    <w:p w:rsidR="00A20875" w:rsidRPr="00AE4763" w:rsidRDefault="001B56BE" w:rsidP="00CE7E09">
      <w:pPr>
        <w:tabs>
          <w:tab w:val="left" w:pos="63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E4763">
        <w:rPr>
          <w:rFonts w:ascii="Arial" w:hAnsi="Arial" w:cs="Arial"/>
          <w:b/>
          <w:sz w:val="18"/>
          <w:szCs w:val="18"/>
        </w:rPr>
        <w:t xml:space="preserve">Figure </w:t>
      </w:r>
      <w:r w:rsidR="00121182" w:rsidRPr="00AE4763">
        <w:rPr>
          <w:rFonts w:ascii="Arial" w:hAnsi="Arial" w:cs="Arial"/>
          <w:b/>
          <w:sz w:val="18"/>
          <w:szCs w:val="18"/>
        </w:rPr>
        <w:t>1</w:t>
      </w:r>
      <w:r w:rsidRPr="00AE4763">
        <w:rPr>
          <w:rFonts w:ascii="Arial" w:hAnsi="Arial" w:cs="Arial"/>
          <w:b/>
          <w:sz w:val="18"/>
          <w:szCs w:val="18"/>
        </w:rPr>
        <w:t>.</w:t>
      </w:r>
      <w:proofErr w:type="gramEnd"/>
      <w:r w:rsidRPr="00AE4763">
        <w:rPr>
          <w:sz w:val="18"/>
          <w:szCs w:val="18"/>
        </w:rPr>
        <w:t xml:space="preserve"> </w:t>
      </w:r>
      <w:proofErr w:type="gramStart"/>
      <w:r w:rsidRPr="00AE4763">
        <w:rPr>
          <w:rFonts w:ascii="Arial" w:hAnsi="Arial" w:cs="Arial"/>
          <w:sz w:val="18"/>
          <w:szCs w:val="18"/>
        </w:rPr>
        <w:t>van</w:t>
      </w:r>
      <w:proofErr w:type="gramEnd"/>
      <w:r w:rsidRPr="00AE4763">
        <w:rPr>
          <w:rFonts w:ascii="Arial" w:hAnsi="Arial" w:cs="Arial"/>
          <w:sz w:val="18"/>
          <w:szCs w:val="18"/>
        </w:rPr>
        <w:t xml:space="preserve"> </w:t>
      </w:r>
      <w:r w:rsidRPr="00AE4763">
        <w:rPr>
          <w:rFonts w:ascii="Arial" w:hAnsi="Arial" w:cs="Arial"/>
          <w:color w:val="000000" w:themeColor="text1"/>
          <w:sz w:val="18"/>
          <w:szCs w:val="18"/>
        </w:rPr>
        <w:t xml:space="preserve">Krevelen diagrams for OM isolated from (a) the Apalachicola River, (b) marine algae before passage through a laboratory engineered sand column, (c) the mixture of algal marine-derived and Apalachicola River OM after passage through the sand column, and (d) </w:t>
      </w:r>
      <w:r w:rsidRPr="00AE4763">
        <w:rPr>
          <w:rFonts w:ascii="Arial" w:hAnsi="Arial" w:cs="Arial"/>
          <w:sz w:val="18"/>
          <w:szCs w:val="18"/>
        </w:rPr>
        <w:t xml:space="preserve">Gulf of Mexico brine fluid seep, hydrocarbon and oil </w:t>
      </w:r>
      <w:proofErr w:type="spellStart"/>
      <w:r w:rsidRPr="00AE4763">
        <w:rPr>
          <w:rFonts w:ascii="Arial" w:hAnsi="Arial" w:cs="Arial"/>
          <w:sz w:val="18"/>
          <w:szCs w:val="18"/>
        </w:rPr>
        <w:t>seep</w:t>
      </w:r>
      <w:proofErr w:type="spellEnd"/>
      <w:r w:rsidRPr="00AE4763">
        <w:rPr>
          <w:rFonts w:ascii="Arial" w:hAnsi="Arial" w:cs="Arial"/>
          <w:sz w:val="18"/>
          <w:szCs w:val="18"/>
        </w:rPr>
        <w:t xml:space="preserve"> (Bush Hill), and bottom water.  Heterogeneous molecular character is depicted in </w:t>
      </w:r>
      <w:r w:rsidR="006E065A" w:rsidRPr="00AE4763">
        <w:rPr>
          <w:rFonts w:ascii="Arial" w:hAnsi="Arial" w:cs="Arial"/>
          <w:sz w:val="18"/>
          <w:szCs w:val="18"/>
        </w:rPr>
        <w:t>Figure 1</w:t>
      </w:r>
      <w:r w:rsidR="002908EE" w:rsidRPr="00AE4763">
        <w:rPr>
          <w:rFonts w:ascii="Arial" w:hAnsi="Arial" w:cs="Arial"/>
          <w:sz w:val="18"/>
          <w:szCs w:val="18"/>
        </w:rPr>
        <w:t>a</w:t>
      </w:r>
      <w:r w:rsidRPr="00AE4763">
        <w:rPr>
          <w:rFonts w:ascii="Arial" w:hAnsi="Arial" w:cs="Arial"/>
          <w:sz w:val="18"/>
          <w:szCs w:val="18"/>
        </w:rPr>
        <w:t xml:space="preserve">-c for molecular constituents containing </w:t>
      </w:r>
      <w:proofErr w:type="spellStart"/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C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  <w:vertAlign w:val="subscript"/>
        </w:rPr>
        <w:t>c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H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  <w:vertAlign w:val="subscript"/>
        </w:rPr>
        <w:t>h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N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  <w:vertAlign w:val="subscript"/>
        </w:rPr>
        <w:t>n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O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  <w:vertAlign w:val="subscript"/>
        </w:rPr>
        <w:t>o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S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  <w:vertAlign w:val="subscript"/>
        </w:rPr>
        <w:t>s</w:t>
      </w:r>
      <w:proofErr w:type="spellEnd"/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 xml:space="preserve"> when n = 0, 1, 2 and s = 0 or 1.  Percentages of molecular species above and below the MLB are provided for each sample.  More labile material from Apalachicola was reported for the marine algal derived OM (Figure </w:t>
      </w:r>
      <w:r w:rsidR="00121182" w:rsidRPr="00AE4763">
        <w:rPr>
          <w:rFonts w:ascii="Arial" w:hAnsi="Arial" w:cs="Arial"/>
          <w:color w:val="000000" w:themeColor="text1"/>
          <w:sz w:val="18"/>
          <w:szCs w:val="18"/>
        </w:rPr>
        <w:t>1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 xml:space="preserve">b) and OM extends to varying labilities for different Gulf of Mexico benthic features (Figure </w:t>
      </w:r>
      <w:r w:rsidR="00121182" w:rsidRPr="00AE4763">
        <w:rPr>
          <w:rFonts w:ascii="Arial" w:hAnsi="Arial" w:cs="Arial"/>
          <w:color w:val="000000" w:themeColor="text1"/>
          <w:sz w:val="18"/>
          <w:szCs w:val="18"/>
        </w:rPr>
        <w:t>1</w:t>
      </w:r>
      <w:r w:rsidR="002908EE" w:rsidRPr="00AE4763">
        <w:rPr>
          <w:rFonts w:ascii="Arial" w:hAnsi="Arial" w:cs="Arial"/>
          <w:color w:val="000000" w:themeColor="text1"/>
          <w:sz w:val="18"/>
          <w:szCs w:val="18"/>
        </w:rPr>
        <w:t>d).</w:t>
      </w:r>
      <w:r w:rsidR="00A20875" w:rsidRPr="00AE476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A20875" w:rsidRDefault="00A20875" w:rsidP="001B56BE">
      <w:pPr>
        <w:tabs>
          <w:tab w:val="left" w:pos="630"/>
        </w:tabs>
        <w:rPr>
          <w:rFonts w:ascii="Arial" w:hAnsi="Arial" w:cs="Arial"/>
          <w:color w:val="000000" w:themeColor="text1"/>
          <w:sz w:val="20"/>
        </w:rPr>
      </w:pPr>
    </w:p>
    <w:p w:rsidR="00AE4763" w:rsidRDefault="00CE7E09" w:rsidP="00CE7E09">
      <w:pPr>
        <w:tabs>
          <w:tab w:val="left" w:pos="6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E4763" w:rsidRDefault="00AE4763" w:rsidP="00CE7E09">
      <w:pPr>
        <w:tabs>
          <w:tab w:val="left" w:pos="63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56BE" w:rsidRDefault="00AE4763" w:rsidP="00AE4763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="00A146C3" w:rsidRPr="00A146C3">
        <w:rPr>
          <w:rFonts w:ascii="Arial" w:hAnsi="Arial" w:cs="Arial"/>
          <w:color w:val="000000" w:themeColor="text1"/>
          <w:sz w:val="20"/>
          <w:szCs w:val="20"/>
        </w:rPr>
        <w:t>Of all marine, freshwater, and glacial environments considered for this study, glacial ecosystems were calculated to be the most labile.  The MLB extends our interpretation of FT-ICR MS NOM molecular data to include a metric of lability and generally ranked the OM from most to least labile as glacial&gt;marine&gt;freshwater.</w:t>
      </w:r>
      <w:r w:rsidR="00A146C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146C3" w:rsidRPr="00A146C3">
        <w:rPr>
          <w:rFonts w:ascii="Arial" w:hAnsi="Arial" w:cs="Arial"/>
          <w:sz w:val="20"/>
        </w:rPr>
        <w:t>The MLB</w:t>
      </w:r>
      <w:r w:rsidR="00A146C3" w:rsidRPr="00A146C3">
        <w:rPr>
          <w:rFonts w:ascii="Arial" w:hAnsi="Arial" w:cs="Arial"/>
          <w:color w:val="000000" w:themeColor="text1"/>
          <w:sz w:val="20"/>
        </w:rPr>
        <w:t xml:space="preserve"> distinguishes between more and less labile OM and its contribution to the overall ecosystem, providing a further advance in the interpretation of molecular data derived from FT-ICR mass spectra.</w:t>
      </w:r>
      <w:r w:rsidR="00A146C3" w:rsidRPr="00A146C3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3F1385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A146C3" w:rsidRPr="00A146C3">
        <w:rPr>
          <w:rFonts w:ascii="Arial" w:hAnsi="Arial" w:cs="Arial"/>
          <w:color w:val="000000" w:themeColor="text1"/>
          <w:sz w:val="20"/>
          <w:szCs w:val="20"/>
        </w:rPr>
        <w:t>Applying the MLB is useful not only for individual NOM FT-ICR MS studies, but also provides a lability threshold to compare and contrast molecular data with other FT-ICR MS instruments that survey NOM from around the world.</w:t>
      </w:r>
    </w:p>
    <w:p w:rsidR="007135F1" w:rsidRPr="006E065A" w:rsidRDefault="007135F1" w:rsidP="0049187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CE7E09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2908EE">
        <w:rPr>
          <w:rFonts w:ascii="Arial" w:eastAsia="Times New Roman" w:hAnsi="Arial" w:cs="Arial"/>
          <w:sz w:val="20"/>
          <w:szCs w:val="20"/>
          <w:lang w:eastAsia="en-US"/>
        </w:rPr>
        <w:t>ll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6E065A">
        <w:rPr>
          <w:rFonts w:ascii="Arial" w:eastAsia="Times New Roman" w:hAnsi="Arial" w:cs="Arial"/>
          <w:sz w:val="20"/>
          <w:szCs w:val="20"/>
          <w:lang w:eastAsia="en-US"/>
        </w:rPr>
        <w:t>,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proofErr w:type="gramStart"/>
      <w:r w:rsidR="00860298">
        <w:rPr>
          <w:rFonts w:ascii="Arial" w:eastAsia="Times New Roman" w:hAnsi="Arial" w:cs="Arial"/>
          <w:sz w:val="20"/>
          <w:szCs w:val="20"/>
          <w:lang w:eastAsia="en-US"/>
        </w:rPr>
        <w:t xml:space="preserve">Additional funding in part through NSF EAR-0628349, ANT-0338342, ANT-0838970, OCE-424967, OCE-0726754, OCE-0536431, </w:t>
      </w:r>
      <w:r w:rsidR="006E065A">
        <w:rPr>
          <w:rFonts w:ascii="Arial" w:eastAsia="Times New Roman" w:hAnsi="Arial" w:cs="Arial"/>
          <w:sz w:val="20"/>
          <w:szCs w:val="20"/>
          <w:lang w:eastAsia="en-US"/>
        </w:rPr>
        <w:t xml:space="preserve">and </w:t>
      </w:r>
      <w:r w:rsidR="00860298">
        <w:rPr>
          <w:rFonts w:ascii="Arial" w:eastAsia="Times New Roman" w:hAnsi="Arial" w:cs="Arial"/>
          <w:sz w:val="20"/>
          <w:szCs w:val="20"/>
          <w:lang w:eastAsia="en-US"/>
        </w:rPr>
        <w:t>CHE-99-09502.</w:t>
      </w:r>
      <w:proofErr w:type="gramEnd"/>
    </w:p>
    <w:p w:rsidR="00FB4399" w:rsidRPr="00491C5D" w:rsidRDefault="00491C5D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6B3824" w:rsidRDefault="00A20875" w:rsidP="00A2087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D’Andrilli, J. </w:t>
      </w:r>
      <w:r w:rsidRPr="00A20875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., Rapid Communications in Mass Spectrometry, </w:t>
      </w:r>
      <w:r>
        <w:rPr>
          <w:rFonts w:ascii="Arial" w:hAnsi="Arial" w:cs="Arial"/>
          <w:b/>
          <w:sz w:val="20"/>
          <w:szCs w:val="20"/>
        </w:rPr>
        <w:t>29</w:t>
      </w:r>
      <w:r w:rsidR="009648AC" w:rsidRPr="006B38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2385-2401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>
        <w:rPr>
          <w:rFonts w:ascii="Arial" w:hAnsi="Arial" w:cs="Arial"/>
          <w:sz w:val="20"/>
          <w:szCs w:val="20"/>
        </w:rPr>
        <w:t>15</w:t>
      </w:r>
      <w:r w:rsidR="00E411D1" w:rsidRPr="006B3824">
        <w:rPr>
          <w:rFonts w:ascii="Arial" w:hAnsi="Arial" w:cs="Arial"/>
          <w:sz w:val="20"/>
          <w:szCs w:val="20"/>
        </w:rPr>
        <w:t>).</w:t>
      </w:r>
      <w:r w:rsidR="008D797D">
        <w:fldChar w:fldCharType="begin"/>
      </w:r>
      <w:r w:rsidR="008D797D">
        <w:instrText xml:space="preserve"> ADDIN EN.REFLIST </w:instrText>
      </w:r>
      <w:r w:rsidR="008D797D">
        <w:fldChar w:fldCharType="end"/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2" w:rsidRDefault="009E56B2">
      <w:r>
        <w:separator/>
      </w:r>
    </w:p>
  </w:endnote>
  <w:endnote w:type="continuationSeparator" w:id="0">
    <w:p w:rsidR="009E56B2" w:rsidRDefault="009E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2" w:rsidRDefault="009E56B2">
      <w:r>
        <w:separator/>
      </w:r>
    </w:p>
  </w:footnote>
  <w:footnote w:type="continuationSeparator" w:id="0">
    <w:p w:rsidR="009E56B2" w:rsidRDefault="009E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B47740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4840"/>
          <wp:effectExtent l="0" t="0" r="0" b="381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chimica Cosmo Acta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50rpffor22emefvd15e2ph5tert2599erp&quot;&gt;EndNote Library&lt;record-ids&gt;&lt;item&gt;147&lt;/item&gt;&lt;item&gt;216&lt;/item&gt;&lt;item&gt;301&lt;/item&gt;&lt;item&gt;333&lt;/item&gt;&lt;/record-ids&gt;&lt;/item&gt;&lt;/Libraries&gt;"/>
  </w:docVars>
  <w:rsids>
    <w:rsidRoot w:val="00731C19"/>
    <w:rsid w:val="00020C55"/>
    <w:rsid w:val="00043CF1"/>
    <w:rsid w:val="000558AC"/>
    <w:rsid w:val="000736B9"/>
    <w:rsid w:val="00080A97"/>
    <w:rsid w:val="00085670"/>
    <w:rsid w:val="000A1716"/>
    <w:rsid w:val="000A59A8"/>
    <w:rsid w:val="000D3516"/>
    <w:rsid w:val="000E1D4F"/>
    <w:rsid w:val="00104A4C"/>
    <w:rsid w:val="00113D92"/>
    <w:rsid w:val="00115312"/>
    <w:rsid w:val="00120180"/>
    <w:rsid w:val="00121182"/>
    <w:rsid w:val="0014131B"/>
    <w:rsid w:val="00141FE9"/>
    <w:rsid w:val="0015485A"/>
    <w:rsid w:val="00155AD2"/>
    <w:rsid w:val="00167606"/>
    <w:rsid w:val="001836FA"/>
    <w:rsid w:val="0018419E"/>
    <w:rsid w:val="0018697C"/>
    <w:rsid w:val="00187023"/>
    <w:rsid w:val="001B56BE"/>
    <w:rsid w:val="001D59E4"/>
    <w:rsid w:val="001E1A4D"/>
    <w:rsid w:val="001E526E"/>
    <w:rsid w:val="001E5ECF"/>
    <w:rsid w:val="001E6BF4"/>
    <w:rsid w:val="00230CDD"/>
    <w:rsid w:val="00231335"/>
    <w:rsid w:val="00233F11"/>
    <w:rsid w:val="00241739"/>
    <w:rsid w:val="002426D5"/>
    <w:rsid w:val="002524EE"/>
    <w:rsid w:val="00265A15"/>
    <w:rsid w:val="00290223"/>
    <w:rsid w:val="002908EE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B7E29"/>
    <w:rsid w:val="003C6493"/>
    <w:rsid w:val="003E2F8E"/>
    <w:rsid w:val="003F1385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C4D74"/>
    <w:rsid w:val="006D745E"/>
    <w:rsid w:val="006E065A"/>
    <w:rsid w:val="006E2CE0"/>
    <w:rsid w:val="006E4A9F"/>
    <w:rsid w:val="007135F1"/>
    <w:rsid w:val="007207FF"/>
    <w:rsid w:val="00731C19"/>
    <w:rsid w:val="00734E94"/>
    <w:rsid w:val="00764FB5"/>
    <w:rsid w:val="00774A49"/>
    <w:rsid w:val="007C0813"/>
    <w:rsid w:val="007D3105"/>
    <w:rsid w:val="007E2F28"/>
    <w:rsid w:val="00845CE4"/>
    <w:rsid w:val="00860298"/>
    <w:rsid w:val="00862CB5"/>
    <w:rsid w:val="00883638"/>
    <w:rsid w:val="008A1D84"/>
    <w:rsid w:val="008B05B8"/>
    <w:rsid w:val="008C5788"/>
    <w:rsid w:val="008D797D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9E56B2"/>
    <w:rsid w:val="00A1227A"/>
    <w:rsid w:val="00A146C3"/>
    <w:rsid w:val="00A20875"/>
    <w:rsid w:val="00A43CDE"/>
    <w:rsid w:val="00A55035"/>
    <w:rsid w:val="00A758E6"/>
    <w:rsid w:val="00A94FC4"/>
    <w:rsid w:val="00AC297F"/>
    <w:rsid w:val="00AC36EE"/>
    <w:rsid w:val="00AC4AFE"/>
    <w:rsid w:val="00AD3CDD"/>
    <w:rsid w:val="00AE142B"/>
    <w:rsid w:val="00AE4763"/>
    <w:rsid w:val="00AF7C63"/>
    <w:rsid w:val="00B00CDB"/>
    <w:rsid w:val="00B25D4D"/>
    <w:rsid w:val="00B45112"/>
    <w:rsid w:val="00B47740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66AC9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CE7E09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37068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3F1385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CD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CDD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230CD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CDD"/>
    <w:rPr>
      <w:noProof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uiPriority w:val="99"/>
    <w:rsid w:val="003F1385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CD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CDD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230CD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CDD"/>
    <w:rPr>
      <w:noProof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3FEE-FBD1-4BC6-B5DE-5B0D44E4E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2015-07-15T23:10:00Z</cp:lastPrinted>
  <dcterms:created xsi:type="dcterms:W3CDTF">2016-02-10T19:53:00Z</dcterms:created>
  <dcterms:modified xsi:type="dcterms:W3CDTF">2016-02-10T19:55:00Z</dcterms:modified>
</cp:coreProperties>
</file>