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A165" w14:textId="76A1CB19" w:rsidR="00C75A17" w:rsidRPr="00D65CBB" w:rsidRDefault="00EB57F4" w:rsidP="00DB4322">
      <w:pPr>
        <w:tabs>
          <w:tab w:val="left" w:pos="360"/>
        </w:tabs>
        <w:jc w:val="center"/>
        <w:rPr>
          <w:rFonts w:ascii="Arial" w:hAnsi="Arial" w:cs="Arial"/>
          <w:b/>
        </w:rPr>
      </w:pPr>
      <w:bookmarkStart w:id="0" w:name="_GoBack"/>
      <w:bookmarkEnd w:id="0"/>
      <w:r w:rsidRPr="00EB57F4">
        <w:rPr>
          <w:rFonts w:ascii="Arial" w:hAnsi="Arial" w:cs="Arial"/>
          <w:b/>
        </w:rPr>
        <w:t xml:space="preserve">Using </w:t>
      </w:r>
      <w:r w:rsidR="00213F59" w:rsidRPr="00213F59">
        <w:rPr>
          <w:rFonts w:ascii="Arial" w:hAnsi="Arial" w:cs="Arial"/>
          <w:b/>
          <w:vertAlign w:val="superscript"/>
        </w:rPr>
        <w:t>35</w:t>
      </w:r>
      <w:r w:rsidR="00213F59">
        <w:rPr>
          <w:rFonts w:ascii="Arial" w:hAnsi="Arial" w:cs="Arial"/>
          <w:b/>
        </w:rPr>
        <w:t xml:space="preserve">Cl Solid-State NMR at </w:t>
      </w:r>
      <w:r w:rsidRPr="00EB57F4">
        <w:rPr>
          <w:rFonts w:ascii="Arial" w:hAnsi="Arial" w:cs="Arial"/>
          <w:b/>
        </w:rPr>
        <w:t>Ultra-High Magnetic Fields to</w:t>
      </w:r>
      <w:r w:rsidR="00AF7588">
        <w:rPr>
          <w:rFonts w:ascii="Arial" w:hAnsi="Arial" w:cs="Arial"/>
          <w:b/>
        </w:rPr>
        <w:t xml:space="preserve"> Study</w:t>
      </w:r>
      <w:r w:rsidRPr="00EB57F4">
        <w:rPr>
          <w:rFonts w:ascii="Arial" w:hAnsi="Arial" w:cs="Arial"/>
          <w:b/>
        </w:rPr>
        <w:t xml:space="preserve"> </w:t>
      </w:r>
      <w:r w:rsidR="00213F59">
        <w:rPr>
          <w:rFonts w:ascii="Arial" w:hAnsi="Arial" w:cs="Arial"/>
          <w:b/>
        </w:rPr>
        <w:t>Active</w:t>
      </w:r>
      <w:r w:rsidR="001E01DF">
        <w:rPr>
          <w:rFonts w:ascii="Arial" w:hAnsi="Arial" w:cs="Arial"/>
          <w:b/>
        </w:rPr>
        <w:t xml:space="preserve"> </w:t>
      </w:r>
      <w:r w:rsidR="00213F59">
        <w:rPr>
          <w:rFonts w:ascii="Arial" w:hAnsi="Arial" w:cs="Arial"/>
          <w:b/>
        </w:rPr>
        <w:t>Pharmaceutical Ingredients</w:t>
      </w:r>
      <w:r w:rsidRPr="00EB57F4">
        <w:rPr>
          <w:rFonts w:ascii="Arial" w:hAnsi="Arial" w:cs="Arial"/>
          <w:b/>
        </w:rPr>
        <w:t>: Polymorphs and Dosage Forms</w:t>
      </w:r>
    </w:p>
    <w:p w14:paraId="19C8A166" w14:textId="77777777" w:rsidR="003E2F8E" w:rsidRPr="006B3824" w:rsidRDefault="003E2F8E" w:rsidP="0049187D">
      <w:pPr>
        <w:tabs>
          <w:tab w:val="left" w:pos="360"/>
        </w:tabs>
        <w:rPr>
          <w:rFonts w:ascii="Arial" w:hAnsi="Arial" w:cs="Arial"/>
          <w:sz w:val="20"/>
          <w:szCs w:val="20"/>
        </w:rPr>
      </w:pPr>
    </w:p>
    <w:p w14:paraId="19C8A168" w14:textId="73605898" w:rsidR="00A94FC4" w:rsidRPr="00EB57F4" w:rsidRDefault="00EB57F4" w:rsidP="00863EA5">
      <w:pPr>
        <w:tabs>
          <w:tab w:val="left" w:pos="360"/>
        </w:tabs>
        <w:rPr>
          <w:rFonts w:ascii="Arial" w:hAnsi="Arial" w:cs="Arial"/>
          <w:sz w:val="20"/>
          <w:szCs w:val="20"/>
        </w:rPr>
      </w:pPr>
      <w:r w:rsidRPr="00EB57F4">
        <w:rPr>
          <w:rFonts w:ascii="Arial" w:hAnsi="Arial" w:cs="Arial"/>
          <w:sz w:val="20"/>
          <w:szCs w:val="20"/>
          <w:u w:val="single"/>
        </w:rPr>
        <w:t>Schurko</w:t>
      </w:r>
      <w:r w:rsidR="001E01DF">
        <w:rPr>
          <w:rFonts w:ascii="Arial" w:hAnsi="Arial" w:cs="Arial"/>
          <w:sz w:val="20"/>
          <w:szCs w:val="20"/>
          <w:u w:val="single"/>
        </w:rPr>
        <w:t>, R.W.</w:t>
      </w:r>
      <w:r w:rsidRPr="00EB57F4">
        <w:rPr>
          <w:rFonts w:ascii="Arial" w:hAnsi="Arial" w:cs="Arial"/>
          <w:sz w:val="20"/>
          <w:szCs w:val="20"/>
        </w:rPr>
        <w:t>,</w:t>
      </w:r>
      <w:r w:rsidR="001E01DF">
        <w:rPr>
          <w:rFonts w:ascii="Arial" w:hAnsi="Arial" w:cs="Arial"/>
          <w:sz w:val="20"/>
          <w:szCs w:val="20"/>
        </w:rPr>
        <w:t xml:space="preserve"> </w:t>
      </w:r>
      <w:r w:rsidR="00376588">
        <w:rPr>
          <w:rFonts w:ascii="Arial" w:hAnsi="Arial" w:cs="Arial"/>
          <w:sz w:val="20"/>
          <w:szCs w:val="20"/>
        </w:rPr>
        <w:t>Hirsh,</w:t>
      </w:r>
      <w:r w:rsidR="001E01DF">
        <w:rPr>
          <w:rFonts w:ascii="Arial" w:hAnsi="Arial" w:cs="Arial"/>
          <w:sz w:val="20"/>
          <w:szCs w:val="20"/>
        </w:rPr>
        <w:t xml:space="preserve"> D.A., </w:t>
      </w:r>
      <w:proofErr w:type="spellStart"/>
      <w:r w:rsidRPr="00EB57F4">
        <w:rPr>
          <w:rFonts w:ascii="Arial" w:hAnsi="Arial" w:cs="Arial"/>
          <w:sz w:val="20"/>
          <w:szCs w:val="20"/>
        </w:rPr>
        <w:t>Veinberg</w:t>
      </w:r>
      <w:proofErr w:type="spellEnd"/>
      <w:r w:rsidRPr="00EB57F4">
        <w:rPr>
          <w:rFonts w:ascii="Arial" w:hAnsi="Arial" w:cs="Arial"/>
          <w:sz w:val="20"/>
          <w:szCs w:val="20"/>
        </w:rPr>
        <w:t xml:space="preserve">, </w:t>
      </w:r>
      <w:r w:rsidR="001E01DF">
        <w:rPr>
          <w:rFonts w:ascii="Arial" w:hAnsi="Arial" w:cs="Arial"/>
          <w:sz w:val="20"/>
          <w:szCs w:val="20"/>
        </w:rPr>
        <w:t xml:space="preserve">S.L., </w:t>
      </w:r>
      <w:proofErr w:type="spellStart"/>
      <w:r w:rsidRPr="00EB57F4">
        <w:rPr>
          <w:rFonts w:ascii="Arial" w:hAnsi="Arial" w:cs="Arial"/>
          <w:sz w:val="20"/>
          <w:szCs w:val="20"/>
        </w:rPr>
        <w:t>Jaroszewicz</w:t>
      </w:r>
      <w:proofErr w:type="spellEnd"/>
      <w:r w:rsidRPr="00EB57F4">
        <w:rPr>
          <w:rFonts w:ascii="Arial" w:hAnsi="Arial" w:cs="Arial"/>
          <w:sz w:val="20"/>
          <w:szCs w:val="20"/>
        </w:rPr>
        <w:t xml:space="preserve">, </w:t>
      </w:r>
      <w:r w:rsidR="001E01DF">
        <w:rPr>
          <w:rFonts w:ascii="Arial" w:hAnsi="Arial" w:cs="Arial"/>
          <w:sz w:val="20"/>
          <w:szCs w:val="20"/>
        </w:rPr>
        <w:t xml:space="preserve">M.J., </w:t>
      </w:r>
      <w:proofErr w:type="spellStart"/>
      <w:r w:rsidRPr="00EB57F4">
        <w:rPr>
          <w:rFonts w:ascii="Arial" w:hAnsi="Arial" w:cs="Arial"/>
          <w:sz w:val="20"/>
          <w:szCs w:val="20"/>
        </w:rPr>
        <w:t>Sandre</w:t>
      </w:r>
      <w:proofErr w:type="spellEnd"/>
      <w:r w:rsidRPr="00EB57F4">
        <w:rPr>
          <w:rFonts w:ascii="Arial" w:hAnsi="Arial" w:cs="Arial"/>
          <w:sz w:val="20"/>
          <w:szCs w:val="20"/>
        </w:rPr>
        <w:t>,</w:t>
      </w:r>
      <w:r w:rsidR="001E01DF">
        <w:rPr>
          <w:rFonts w:ascii="Arial" w:hAnsi="Arial" w:cs="Arial"/>
          <w:sz w:val="20"/>
          <w:szCs w:val="20"/>
        </w:rPr>
        <w:t xml:space="preserve"> A.R., </w:t>
      </w:r>
      <w:proofErr w:type="spellStart"/>
      <w:r w:rsidRPr="00EB57F4">
        <w:rPr>
          <w:rFonts w:ascii="Arial" w:hAnsi="Arial" w:cs="Arial"/>
          <w:sz w:val="20"/>
          <w:szCs w:val="20"/>
        </w:rPr>
        <w:t>Namespetra</w:t>
      </w:r>
      <w:proofErr w:type="spellEnd"/>
      <w:r w:rsidR="001E01DF">
        <w:rPr>
          <w:rFonts w:ascii="Arial" w:hAnsi="Arial" w:cs="Arial"/>
          <w:sz w:val="20"/>
          <w:szCs w:val="20"/>
        </w:rPr>
        <w:t>, A.M.</w:t>
      </w:r>
      <w:r w:rsidRPr="00EB57F4">
        <w:rPr>
          <w:rFonts w:ascii="Arial" w:hAnsi="Arial" w:cs="Arial"/>
          <w:sz w:val="20"/>
          <w:szCs w:val="20"/>
        </w:rPr>
        <w:t xml:space="preserve"> (U. of Windsor, Chemistry</w:t>
      </w:r>
      <w:r w:rsidR="00E570C8">
        <w:rPr>
          <w:rFonts w:ascii="Arial" w:hAnsi="Arial" w:cs="Arial"/>
          <w:sz w:val="20"/>
          <w:szCs w:val="20"/>
        </w:rPr>
        <w:t xml:space="preserve"> &amp; Biochemistry</w:t>
      </w:r>
      <w:r w:rsidR="001E01DF">
        <w:rPr>
          <w:rFonts w:ascii="Arial" w:hAnsi="Arial" w:cs="Arial"/>
          <w:sz w:val="20"/>
          <w:szCs w:val="20"/>
        </w:rPr>
        <w:t xml:space="preserve">); </w:t>
      </w:r>
      <w:r w:rsidRPr="00EB57F4">
        <w:rPr>
          <w:rFonts w:ascii="Arial" w:hAnsi="Arial" w:cs="Arial"/>
          <w:sz w:val="20"/>
          <w:szCs w:val="20"/>
        </w:rPr>
        <w:t>Frydman</w:t>
      </w:r>
      <w:r w:rsidR="001E01DF">
        <w:rPr>
          <w:rFonts w:ascii="Arial" w:hAnsi="Arial" w:cs="Arial"/>
          <w:sz w:val="20"/>
          <w:szCs w:val="20"/>
        </w:rPr>
        <w:t>, L.</w:t>
      </w:r>
      <w:r w:rsidRPr="00EB57F4">
        <w:rPr>
          <w:rFonts w:ascii="Arial" w:hAnsi="Arial" w:cs="Arial"/>
          <w:sz w:val="20"/>
          <w:szCs w:val="20"/>
        </w:rPr>
        <w:t xml:space="preserve"> (Weizmann Institute, Chemical Physics</w:t>
      </w:r>
      <w:r w:rsidR="001E01DF">
        <w:rPr>
          <w:rFonts w:ascii="Arial" w:hAnsi="Arial" w:cs="Arial"/>
          <w:sz w:val="20"/>
          <w:szCs w:val="20"/>
        </w:rPr>
        <w:t xml:space="preserve">); Hung, I. and </w:t>
      </w:r>
      <w:r w:rsidRPr="00EB57F4">
        <w:rPr>
          <w:rFonts w:ascii="Arial" w:hAnsi="Arial" w:cs="Arial"/>
          <w:sz w:val="20"/>
          <w:szCs w:val="20"/>
        </w:rPr>
        <w:t>Gan</w:t>
      </w:r>
      <w:r w:rsidR="001E01DF">
        <w:rPr>
          <w:rFonts w:ascii="Arial" w:hAnsi="Arial" w:cs="Arial"/>
          <w:sz w:val="20"/>
          <w:szCs w:val="20"/>
        </w:rPr>
        <w:t>, Z.</w:t>
      </w:r>
      <w:r w:rsidRPr="00EB57F4">
        <w:rPr>
          <w:rFonts w:ascii="Arial" w:hAnsi="Arial" w:cs="Arial"/>
          <w:sz w:val="20"/>
          <w:szCs w:val="20"/>
        </w:rPr>
        <w:t xml:space="preserve"> (NHMFL)</w:t>
      </w:r>
    </w:p>
    <w:p w14:paraId="19C8A169" w14:textId="2D9B1AA6" w:rsidR="00A94FC4" w:rsidRPr="006B3824" w:rsidRDefault="00A94FC4" w:rsidP="0049187D">
      <w:pPr>
        <w:pBdr>
          <w:bottom w:val="single" w:sz="12" w:space="1" w:color="auto"/>
        </w:pBdr>
        <w:tabs>
          <w:tab w:val="left" w:pos="360"/>
        </w:tabs>
        <w:rPr>
          <w:rFonts w:ascii="Arial" w:hAnsi="Arial" w:cs="Arial"/>
          <w:sz w:val="20"/>
          <w:szCs w:val="20"/>
        </w:rPr>
      </w:pPr>
    </w:p>
    <w:p w14:paraId="60A12AAD" w14:textId="77777777" w:rsidR="006C5EC1" w:rsidRPr="006C5EC1" w:rsidRDefault="006C5EC1" w:rsidP="00DB4322">
      <w:pPr>
        <w:tabs>
          <w:tab w:val="left" w:pos="360"/>
        </w:tabs>
        <w:rPr>
          <w:rFonts w:ascii="Arial" w:hAnsi="Arial" w:cs="Arial"/>
          <w:noProof/>
          <w:sz w:val="20"/>
          <w:szCs w:val="20"/>
          <w:lang w:eastAsia="en-US"/>
        </w:rPr>
      </w:pPr>
    </w:p>
    <w:p w14:paraId="6BCEA73F" w14:textId="6AB153A8" w:rsidR="006C5EC1" w:rsidRDefault="00EB57F4" w:rsidP="00DB4322">
      <w:pPr>
        <w:tabs>
          <w:tab w:val="left" w:pos="360"/>
        </w:tabs>
        <w:rPr>
          <w:rFonts w:ascii="Arial" w:hAnsi="Arial" w:cs="Arial"/>
          <w:b/>
          <w:noProof/>
          <w:sz w:val="20"/>
          <w:szCs w:val="20"/>
          <w:lang w:eastAsia="en-US"/>
        </w:rPr>
      </w:pPr>
      <w:r w:rsidRPr="00EB57F4">
        <w:rPr>
          <w:rFonts w:ascii="Arial" w:hAnsi="Arial" w:cs="Arial"/>
          <w:b/>
          <w:noProof/>
          <w:sz w:val="20"/>
          <w:szCs w:val="20"/>
          <w:lang w:eastAsia="en-US"/>
        </w:rPr>
        <w:t>Introduction</w:t>
      </w:r>
    </w:p>
    <w:p w14:paraId="3F7D6E02" w14:textId="0152A9CF" w:rsidR="00EB57F4" w:rsidRPr="006E29BE" w:rsidRDefault="006C5EC1" w:rsidP="00DB4322">
      <w:pPr>
        <w:tabs>
          <w:tab w:val="left" w:pos="360"/>
        </w:tabs>
        <w:rPr>
          <w:rFonts w:ascii="Arial" w:hAnsi="Arial" w:cs="Arial"/>
          <w:b/>
          <w:noProof/>
          <w:sz w:val="20"/>
          <w:szCs w:val="20"/>
          <w:lang w:eastAsia="en-US"/>
        </w:rPr>
      </w:pPr>
      <w:r>
        <w:rPr>
          <w:rFonts w:ascii="Arial" w:hAnsi="Arial" w:cs="Arial"/>
          <w:noProof/>
          <w:sz w:val="20"/>
          <w:szCs w:val="20"/>
          <w:lang w:eastAsia="en-US"/>
        </w:rPr>
        <w:tab/>
      </w:r>
      <w:r w:rsidR="00EB57F4" w:rsidRPr="00EB57F4">
        <w:rPr>
          <w:rFonts w:ascii="Arial" w:hAnsi="Arial" w:cs="Arial"/>
          <w:noProof/>
          <w:sz w:val="20"/>
          <w:szCs w:val="20"/>
          <w:lang w:eastAsia="en-US"/>
        </w:rPr>
        <w:t xml:space="preserve">The differentiation of polymorphs of active pharmaceutical ingredients (APIs) is of great importance in the pharmaceutical industry; distinct polymorphs may exhibit different physicochemical properties such as bioavailability, shelf life, stability, and each unique polymorph </w:t>
      </w:r>
      <w:r w:rsidR="007523EF">
        <w:rPr>
          <w:rFonts w:ascii="Arial" w:hAnsi="Arial" w:cs="Arial"/>
          <w:noProof/>
          <w:sz w:val="20"/>
          <w:szCs w:val="20"/>
          <w:lang w:eastAsia="en-US"/>
        </w:rPr>
        <w:t>can be patented</w:t>
      </w:r>
      <w:r w:rsidR="00EB57F4" w:rsidRPr="00EB57F4">
        <w:rPr>
          <w:rFonts w:ascii="Arial" w:hAnsi="Arial" w:cs="Arial"/>
          <w:noProof/>
          <w:sz w:val="20"/>
          <w:szCs w:val="20"/>
          <w:lang w:eastAsia="en-US"/>
        </w:rPr>
        <w:t>.</w:t>
      </w:r>
      <w:r w:rsidR="00EB57F4" w:rsidRPr="00EB57F4">
        <w:rPr>
          <w:rFonts w:ascii="Arial" w:hAnsi="Arial" w:cs="Arial"/>
          <w:noProof/>
          <w:sz w:val="20"/>
          <w:szCs w:val="20"/>
          <w:vertAlign w:val="superscript"/>
          <w:lang w:eastAsia="en-US"/>
        </w:rPr>
        <w:t>1</w:t>
      </w:r>
      <w:r w:rsidR="00EB57F4" w:rsidRPr="00EB57F4">
        <w:rPr>
          <w:rFonts w:ascii="Arial" w:hAnsi="Arial" w:cs="Arial"/>
          <w:noProof/>
          <w:sz w:val="20"/>
          <w:szCs w:val="20"/>
          <w:lang w:eastAsia="en-US"/>
        </w:rPr>
        <w:t xml:space="preserve"> Since mo</w:t>
      </w:r>
      <w:r w:rsidR="001E6FE5">
        <w:rPr>
          <w:rFonts w:ascii="Arial" w:hAnsi="Arial" w:cs="Arial"/>
          <w:noProof/>
          <w:sz w:val="20"/>
          <w:szCs w:val="20"/>
          <w:lang w:eastAsia="en-US"/>
        </w:rPr>
        <w:t>st APIs are prepared as solids</w:t>
      </w:r>
      <w:r w:rsidR="00EB57F4" w:rsidRPr="00EB57F4">
        <w:rPr>
          <w:rFonts w:ascii="Arial" w:hAnsi="Arial" w:cs="Arial"/>
          <w:noProof/>
          <w:sz w:val="20"/>
          <w:szCs w:val="20"/>
          <w:lang w:eastAsia="en-US"/>
        </w:rPr>
        <w:t>, it is crucial to structurally characterize and identify polymorphs and impurities in both their initial bulk forms and their final dosage</w:t>
      </w:r>
      <w:r w:rsidR="00A911D1">
        <w:rPr>
          <w:rFonts w:ascii="Arial" w:hAnsi="Arial" w:cs="Arial"/>
          <w:noProof/>
          <w:sz w:val="20"/>
          <w:szCs w:val="20"/>
          <w:lang w:eastAsia="en-US"/>
        </w:rPr>
        <w:t xml:space="preserve"> forms</w:t>
      </w:r>
      <w:r w:rsidR="00FB71F1">
        <w:rPr>
          <w:rFonts w:ascii="Arial" w:hAnsi="Arial" w:cs="Arial"/>
          <w:noProof/>
          <w:sz w:val="20"/>
          <w:szCs w:val="20"/>
          <w:lang w:eastAsia="en-US"/>
        </w:rPr>
        <w:t xml:space="preserve"> (e.g., pills, capsules, tablets, etc.)</w:t>
      </w:r>
      <w:r w:rsidR="004632CC">
        <w:rPr>
          <w:rFonts w:ascii="Arial" w:hAnsi="Arial" w:cs="Arial"/>
          <w:noProof/>
          <w:sz w:val="20"/>
          <w:szCs w:val="20"/>
          <w:lang w:eastAsia="en-US"/>
        </w:rPr>
        <w:t>.</w:t>
      </w:r>
      <w:r w:rsidR="00EB57F4" w:rsidRPr="00EB57F4">
        <w:rPr>
          <w:rFonts w:ascii="Arial" w:hAnsi="Arial" w:cs="Arial"/>
          <w:noProof/>
          <w:sz w:val="20"/>
          <w:szCs w:val="20"/>
          <w:lang w:eastAsia="en-US"/>
        </w:rPr>
        <w:t xml:space="preserve"> Polymorphs are most commonly differentiated with the use of X-ray diffraction (XRD) and </w:t>
      </w:r>
      <w:r w:rsidR="00EB57F4" w:rsidRPr="00EB57F4">
        <w:rPr>
          <w:rFonts w:ascii="Arial" w:hAnsi="Arial" w:cs="Arial"/>
          <w:noProof/>
          <w:sz w:val="20"/>
          <w:szCs w:val="20"/>
          <w:vertAlign w:val="superscript"/>
          <w:lang w:eastAsia="en-US"/>
        </w:rPr>
        <w:t>13</w:t>
      </w:r>
      <w:r w:rsidR="00EB57F4" w:rsidRPr="00EB57F4">
        <w:rPr>
          <w:rFonts w:ascii="Arial" w:hAnsi="Arial" w:cs="Arial"/>
          <w:noProof/>
          <w:sz w:val="20"/>
          <w:szCs w:val="20"/>
          <w:lang w:eastAsia="en-US"/>
        </w:rPr>
        <w:t>C solid-state NMR (SSNMR) techniques.</w:t>
      </w:r>
      <w:r w:rsidR="00EB57F4" w:rsidRPr="00EB57F4">
        <w:rPr>
          <w:rFonts w:ascii="Arial" w:hAnsi="Arial" w:cs="Arial"/>
          <w:noProof/>
          <w:sz w:val="20"/>
          <w:szCs w:val="20"/>
          <w:vertAlign w:val="superscript"/>
          <w:lang w:eastAsia="en-US"/>
        </w:rPr>
        <w:t>2</w:t>
      </w:r>
      <w:r w:rsidR="00EB57F4" w:rsidRPr="00EB57F4">
        <w:rPr>
          <w:rFonts w:ascii="Arial" w:hAnsi="Arial" w:cs="Arial"/>
          <w:noProof/>
          <w:sz w:val="20"/>
          <w:szCs w:val="20"/>
          <w:lang w:eastAsia="en-US"/>
        </w:rPr>
        <w:t xml:space="preserve"> </w:t>
      </w:r>
      <w:r w:rsidR="007523EF">
        <w:rPr>
          <w:rFonts w:ascii="Arial" w:hAnsi="Arial" w:cs="Arial"/>
          <w:noProof/>
          <w:sz w:val="20"/>
          <w:szCs w:val="20"/>
          <w:lang w:eastAsia="en-US"/>
        </w:rPr>
        <w:t>O</w:t>
      </w:r>
      <w:r w:rsidR="00EB57F4" w:rsidRPr="00EB57F4">
        <w:rPr>
          <w:rFonts w:ascii="Arial" w:hAnsi="Arial" w:cs="Arial"/>
          <w:noProof/>
          <w:sz w:val="20"/>
          <w:szCs w:val="20"/>
          <w:lang w:eastAsia="en-US"/>
        </w:rPr>
        <w:t xml:space="preserve">ur group </w:t>
      </w:r>
      <w:r w:rsidR="007523EF">
        <w:rPr>
          <w:rFonts w:ascii="Arial" w:hAnsi="Arial" w:cs="Arial"/>
          <w:noProof/>
          <w:sz w:val="20"/>
          <w:szCs w:val="20"/>
          <w:lang w:eastAsia="en-US"/>
        </w:rPr>
        <w:t xml:space="preserve">has </w:t>
      </w:r>
      <w:r w:rsidR="00EB57F4" w:rsidRPr="00EB57F4">
        <w:rPr>
          <w:rFonts w:ascii="Arial" w:hAnsi="Arial" w:cs="Arial"/>
          <w:noProof/>
          <w:sz w:val="20"/>
          <w:szCs w:val="20"/>
          <w:lang w:eastAsia="en-US"/>
        </w:rPr>
        <w:t xml:space="preserve">demonstrated </w:t>
      </w:r>
      <w:r w:rsidR="007523EF">
        <w:rPr>
          <w:rFonts w:ascii="Arial" w:hAnsi="Arial" w:cs="Arial"/>
          <w:noProof/>
          <w:sz w:val="20"/>
          <w:szCs w:val="20"/>
          <w:lang w:eastAsia="en-US"/>
        </w:rPr>
        <w:t xml:space="preserve">in 2008 </w:t>
      </w:r>
      <w:r w:rsidR="00EB57F4" w:rsidRPr="00EB57F4">
        <w:rPr>
          <w:rFonts w:ascii="Arial" w:hAnsi="Arial" w:cs="Arial"/>
          <w:noProof/>
          <w:sz w:val="20"/>
          <w:szCs w:val="20"/>
          <w:lang w:eastAsia="en-US"/>
        </w:rPr>
        <w:t xml:space="preserve">that </w:t>
      </w:r>
      <w:r w:rsidR="00EB57F4" w:rsidRPr="00EB57F4">
        <w:rPr>
          <w:rFonts w:ascii="Arial" w:hAnsi="Arial" w:cs="Arial"/>
          <w:noProof/>
          <w:sz w:val="20"/>
          <w:szCs w:val="20"/>
          <w:vertAlign w:val="superscript"/>
          <w:lang w:eastAsia="en-US"/>
        </w:rPr>
        <w:t>35</w:t>
      </w:r>
      <w:r w:rsidR="00EB57F4" w:rsidRPr="00EB57F4">
        <w:rPr>
          <w:rFonts w:ascii="Arial" w:hAnsi="Arial" w:cs="Arial"/>
          <w:noProof/>
          <w:sz w:val="20"/>
          <w:szCs w:val="20"/>
          <w:lang w:eastAsia="en-US"/>
        </w:rPr>
        <w:t xml:space="preserve">Cl SSNMR can serve as a complementary technique to </w:t>
      </w:r>
      <w:r w:rsidR="00163EB4">
        <w:rPr>
          <w:rFonts w:ascii="Arial" w:hAnsi="Arial" w:cs="Arial"/>
          <w:noProof/>
          <w:sz w:val="20"/>
          <w:szCs w:val="20"/>
          <w:lang w:eastAsia="en-US"/>
        </w:rPr>
        <w:t xml:space="preserve">these </w:t>
      </w:r>
      <w:r w:rsidR="00EB57F4" w:rsidRPr="00EB57F4">
        <w:rPr>
          <w:rFonts w:ascii="Arial" w:hAnsi="Arial" w:cs="Arial"/>
          <w:noProof/>
          <w:sz w:val="20"/>
          <w:szCs w:val="20"/>
          <w:lang w:eastAsia="en-US"/>
        </w:rPr>
        <w:t>conventional characterization methods.</w:t>
      </w:r>
      <w:r w:rsidR="00EB57F4" w:rsidRPr="00EB57F4">
        <w:rPr>
          <w:rFonts w:ascii="Arial" w:hAnsi="Arial" w:cs="Arial"/>
          <w:noProof/>
          <w:sz w:val="20"/>
          <w:szCs w:val="20"/>
          <w:vertAlign w:val="superscript"/>
          <w:lang w:eastAsia="en-US"/>
        </w:rPr>
        <w:t>3</w:t>
      </w:r>
      <w:r w:rsidR="00940B05">
        <w:rPr>
          <w:rFonts w:ascii="Arial" w:hAnsi="Arial" w:cs="Arial"/>
          <w:noProof/>
          <w:sz w:val="20"/>
          <w:szCs w:val="20"/>
          <w:lang w:eastAsia="en-US"/>
        </w:rPr>
        <w:t xml:space="preserve"> </w:t>
      </w:r>
      <w:r w:rsidR="000D1E08">
        <w:rPr>
          <w:rFonts w:ascii="Arial" w:hAnsi="Arial" w:cs="Arial"/>
          <w:noProof/>
          <w:sz w:val="20"/>
          <w:szCs w:val="20"/>
          <w:lang w:eastAsia="en-US"/>
        </w:rPr>
        <w:t xml:space="preserve">In 2014, </w:t>
      </w:r>
      <w:r w:rsidR="00940B05">
        <w:rPr>
          <w:rFonts w:ascii="Arial" w:hAnsi="Arial" w:cs="Arial"/>
          <w:noProof/>
          <w:sz w:val="20"/>
          <w:szCs w:val="20"/>
          <w:lang w:eastAsia="en-US"/>
        </w:rPr>
        <w:t>we</w:t>
      </w:r>
      <w:r w:rsidR="000D1E08">
        <w:rPr>
          <w:rFonts w:ascii="Arial" w:hAnsi="Arial" w:cs="Arial"/>
          <w:noProof/>
          <w:sz w:val="20"/>
          <w:szCs w:val="20"/>
          <w:lang w:eastAsia="en-US"/>
        </w:rPr>
        <w:t xml:space="preserve"> publish</w:t>
      </w:r>
      <w:r w:rsidR="007523EF">
        <w:rPr>
          <w:rFonts w:ascii="Arial" w:hAnsi="Arial" w:cs="Arial"/>
          <w:noProof/>
          <w:sz w:val="20"/>
          <w:szCs w:val="20"/>
          <w:lang w:eastAsia="en-US"/>
        </w:rPr>
        <w:t>ed</w:t>
      </w:r>
      <w:r w:rsidR="000D1E08">
        <w:rPr>
          <w:rFonts w:ascii="Arial" w:hAnsi="Arial" w:cs="Arial"/>
          <w:noProof/>
          <w:sz w:val="20"/>
          <w:szCs w:val="20"/>
          <w:lang w:eastAsia="en-US"/>
        </w:rPr>
        <w:t xml:space="preserve"> a comprehensive study of the relationship between </w:t>
      </w:r>
      <w:r w:rsidR="000D1E08" w:rsidRPr="006854B5">
        <w:rPr>
          <w:rFonts w:ascii="Arial" w:hAnsi="Arial" w:cs="Arial"/>
          <w:noProof/>
          <w:sz w:val="20"/>
          <w:szCs w:val="20"/>
          <w:vertAlign w:val="superscript"/>
          <w:lang w:eastAsia="en-US"/>
        </w:rPr>
        <w:t>35</w:t>
      </w:r>
      <w:r w:rsidR="000D1E08">
        <w:rPr>
          <w:rFonts w:ascii="Arial" w:hAnsi="Arial" w:cs="Arial"/>
          <w:noProof/>
          <w:sz w:val="20"/>
          <w:szCs w:val="20"/>
          <w:lang w:eastAsia="en-US"/>
        </w:rPr>
        <w:t xml:space="preserve">Cl NMR parameters and molecular structures in a series of </w:t>
      </w:r>
      <w:r w:rsidR="00AF7C14">
        <w:rPr>
          <w:rFonts w:ascii="Arial" w:hAnsi="Arial" w:cs="Arial"/>
          <w:noProof/>
          <w:sz w:val="20"/>
          <w:szCs w:val="20"/>
          <w:lang w:eastAsia="en-US"/>
        </w:rPr>
        <w:t>20</w:t>
      </w:r>
      <w:r w:rsidR="000D1E08">
        <w:rPr>
          <w:rFonts w:ascii="Arial" w:hAnsi="Arial" w:cs="Arial"/>
          <w:noProof/>
          <w:sz w:val="20"/>
          <w:szCs w:val="20"/>
          <w:lang w:eastAsia="en-US"/>
        </w:rPr>
        <w:t xml:space="preserve"> APIs and related polymorphs.</w:t>
      </w:r>
      <w:r w:rsidR="00B82415" w:rsidRPr="00B82415">
        <w:rPr>
          <w:rFonts w:ascii="Arial" w:hAnsi="Arial" w:cs="Arial"/>
          <w:noProof/>
          <w:sz w:val="20"/>
          <w:szCs w:val="20"/>
          <w:vertAlign w:val="superscript"/>
          <w:lang w:eastAsia="en-US"/>
        </w:rPr>
        <w:t>4</w:t>
      </w:r>
      <w:r w:rsidR="00FB71F1">
        <w:rPr>
          <w:rFonts w:ascii="Arial" w:hAnsi="Arial" w:cs="Arial"/>
          <w:noProof/>
          <w:sz w:val="20"/>
          <w:szCs w:val="20"/>
          <w:lang w:eastAsia="en-US"/>
        </w:rPr>
        <w:t xml:space="preserve"> </w:t>
      </w:r>
      <w:r>
        <w:rPr>
          <w:rFonts w:ascii="Arial" w:hAnsi="Arial" w:cs="Arial"/>
          <w:noProof/>
          <w:sz w:val="20"/>
          <w:szCs w:val="20"/>
          <w:lang w:eastAsia="en-US"/>
        </w:rPr>
        <w:t>The current work describes</w:t>
      </w:r>
      <w:r w:rsidR="00FB71F1">
        <w:rPr>
          <w:rFonts w:ascii="Arial" w:hAnsi="Arial" w:cs="Arial"/>
          <w:noProof/>
          <w:sz w:val="20"/>
          <w:szCs w:val="20"/>
          <w:lang w:eastAsia="en-US"/>
        </w:rPr>
        <w:t xml:space="preserve"> the use of </w:t>
      </w:r>
      <w:r w:rsidR="00FB71F1" w:rsidRPr="00FB71F1">
        <w:rPr>
          <w:rFonts w:ascii="Arial" w:hAnsi="Arial" w:cs="Arial"/>
          <w:noProof/>
          <w:sz w:val="20"/>
          <w:szCs w:val="20"/>
          <w:vertAlign w:val="superscript"/>
          <w:lang w:eastAsia="en-US"/>
        </w:rPr>
        <w:t>35</w:t>
      </w:r>
      <w:r w:rsidR="00FB71F1">
        <w:rPr>
          <w:rFonts w:ascii="Arial" w:hAnsi="Arial" w:cs="Arial"/>
          <w:noProof/>
          <w:sz w:val="20"/>
          <w:szCs w:val="20"/>
          <w:lang w:eastAsia="en-US"/>
        </w:rPr>
        <w:t xml:space="preserve">Cl SSNMR for identifying the solid phases of APIs, along with impurities, </w:t>
      </w:r>
      <w:r w:rsidR="00B445EC">
        <w:rPr>
          <w:rFonts w:ascii="Arial" w:hAnsi="Arial" w:cs="Arial"/>
          <w:noProof/>
          <w:sz w:val="20"/>
          <w:szCs w:val="20"/>
          <w:lang w:eastAsia="en-US"/>
        </w:rPr>
        <w:t>in</w:t>
      </w:r>
      <w:r w:rsidR="00DF6AE0">
        <w:rPr>
          <w:rFonts w:ascii="Arial" w:hAnsi="Arial" w:cs="Arial"/>
          <w:noProof/>
          <w:sz w:val="20"/>
          <w:szCs w:val="20"/>
          <w:lang w:eastAsia="en-US"/>
        </w:rPr>
        <w:t xml:space="preserve"> a variety of</w:t>
      </w:r>
      <w:r w:rsidR="00B445EC">
        <w:rPr>
          <w:rFonts w:ascii="Arial" w:hAnsi="Arial" w:cs="Arial"/>
          <w:noProof/>
          <w:sz w:val="20"/>
          <w:szCs w:val="20"/>
          <w:lang w:eastAsia="en-US"/>
        </w:rPr>
        <w:t xml:space="preserve"> dosage form</w:t>
      </w:r>
      <w:r w:rsidR="00B319C0">
        <w:rPr>
          <w:rFonts w:ascii="Arial" w:hAnsi="Arial" w:cs="Arial"/>
          <w:noProof/>
          <w:sz w:val="20"/>
          <w:szCs w:val="20"/>
          <w:lang w:eastAsia="en-US"/>
        </w:rPr>
        <w:t>s</w:t>
      </w:r>
      <w:r w:rsidR="009F483B">
        <w:rPr>
          <w:rFonts w:ascii="Arial" w:hAnsi="Arial" w:cs="Arial"/>
          <w:noProof/>
          <w:sz w:val="20"/>
          <w:szCs w:val="20"/>
          <w:lang w:eastAsia="en-US"/>
        </w:rPr>
        <w:t>.</w:t>
      </w:r>
      <w:r>
        <w:rPr>
          <w:rFonts w:ascii="Arial" w:hAnsi="Arial" w:cs="Arial"/>
          <w:noProof/>
          <w:sz w:val="20"/>
          <w:szCs w:val="20"/>
          <w:lang w:eastAsia="en-US"/>
        </w:rPr>
        <w:t xml:space="preserve"> </w:t>
      </w:r>
      <w:r w:rsidR="00635B60">
        <w:rPr>
          <w:rFonts w:ascii="Arial" w:hAnsi="Arial" w:cs="Arial"/>
          <w:noProof/>
          <w:sz w:val="20"/>
          <w:szCs w:val="20"/>
          <w:lang w:eastAsia="en-US"/>
        </w:rPr>
        <w:t>The 21.1 T NMR system at the MagLab has been crucial for the success of this work.</w:t>
      </w:r>
    </w:p>
    <w:p w14:paraId="1FDFE95D" w14:textId="19BA665C" w:rsidR="006C5EC1" w:rsidRDefault="00EB57F4" w:rsidP="001E01DF">
      <w:pPr>
        <w:tabs>
          <w:tab w:val="left" w:pos="360"/>
        </w:tabs>
        <w:spacing w:before="120"/>
        <w:rPr>
          <w:rFonts w:ascii="Arial" w:hAnsi="Arial" w:cs="Arial"/>
          <w:b/>
          <w:noProof/>
          <w:sz w:val="20"/>
          <w:szCs w:val="20"/>
          <w:lang w:eastAsia="en-US"/>
        </w:rPr>
      </w:pPr>
      <w:r w:rsidRPr="00EB57F4">
        <w:rPr>
          <w:rFonts w:ascii="Arial" w:hAnsi="Arial" w:cs="Arial"/>
          <w:b/>
          <w:noProof/>
          <w:sz w:val="20"/>
          <w:szCs w:val="20"/>
          <w:lang w:eastAsia="en-US"/>
        </w:rPr>
        <w:t>Experimental</w:t>
      </w:r>
    </w:p>
    <w:p w14:paraId="6DEB6946" w14:textId="5A089E9B" w:rsidR="001E01DF" w:rsidRDefault="001E01DF" w:rsidP="001E01DF">
      <w:pPr>
        <w:tabs>
          <w:tab w:val="left" w:pos="360"/>
        </w:tabs>
        <w:rPr>
          <w:rFonts w:ascii="Arial" w:hAnsi="Arial" w:cs="Arial"/>
          <w:noProof/>
          <w:sz w:val="20"/>
          <w:szCs w:val="20"/>
          <w:lang w:eastAsia="en-US"/>
        </w:rPr>
      </w:pPr>
      <w:r>
        <w:rPr>
          <w:noProof/>
          <w:lang w:eastAsia="en-US"/>
        </w:rPr>
        <mc:AlternateContent>
          <mc:Choice Requires="wps">
            <w:drawing>
              <wp:anchor distT="0" distB="0" distL="114300" distR="114300" simplePos="0" relativeHeight="251659264" behindDoc="1" locked="0" layoutInCell="1" allowOverlap="1" wp14:anchorId="71875A1C" wp14:editId="4DB2A257">
                <wp:simplePos x="0" y="0"/>
                <wp:positionH relativeFrom="column">
                  <wp:posOffset>3496310</wp:posOffset>
                </wp:positionH>
                <wp:positionV relativeFrom="paragraph">
                  <wp:posOffset>478790</wp:posOffset>
                </wp:positionV>
                <wp:extent cx="2917825" cy="2512060"/>
                <wp:effectExtent l="0" t="0" r="0" b="2540"/>
                <wp:wrapTight wrapText="bothSides">
                  <wp:wrapPolygon edited="0">
                    <wp:start x="0" y="0"/>
                    <wp:lineTo x="0" y="21458"/>
                    <wp:lineTo x="21435" y="21458"/>
                    <wp:lineTo x="2143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17825" cy="2512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91211" w14:textId="77777777" w:rsidR="001E01DF" w:rsidRDefault="001E0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3pt;margin-top:37.7pt;width:229.75pt;height:19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" fillcolor="white [3201]" stroked="f" strokeweight=".5pt">
                <v:textbox>
                  <w:txbxContent>
                    <w:p w14:paraId="2D291211" w14:textId="77777777" w:rsidR="001E01DF" w:rsidRDefault="001E01DF"/>
                  </w:txbxContent>
                </v:textbox>
                <w10:wrap type="tight"/>
              </v:shape>
            </w:pict>
          </mc:Fallback>
        </mc:AlternateContent>
      </w:r>
      <w:r w:rsidRPr="00BB20B2">
        <w:rPr>
          <w:noProof/>
          <w:lang w:eastAsia="en-US"/>
        </w:rPr>
        <w:drawing>
          <wp:anchor distT="0" distB="0" distL="114300" distR="114300" simplePos="0" relativeHeight="251658240" behindDoc="0" locked="0" layoutInCell="0" allowOverlap="1" wp14:anchorId="71EA71ED" wp14:editId="17B998F2">
            <wp:simplePos x="0" y="0"/>
            <wp:positionH relativeFrom="margin">
              <wp:posOffset>3520440</wp:posOffset>
            </wp:positionH>
            <wp:positionV relativeFrom="page">
              <wp:posOffset>4269629</wp:posOffset>
            </wp:positionV>
            <wp:extent cx="2894275" cy="2550428"/>
            <wp:effectExtent l="0" t="0" r="1905" b="2540"/>
            <wp:wrapNone/>
            <wp:docPr id="3" name="Picture 3" descr="Macintosh HD:Users:davidhirsh:Desktop:Andrew Manuscript Work:Figures png:Figure7_Isox_35Cl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hirsh:Desktop:Andrew Manuscript Work:Figures png:Figure7_Isox_35Cl_N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275" cy="2550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EC1">
        <w:rPr>
          <w:rFonts w:ascii="Arial" w:hAnsi="Arial" w:cs="Arial"/>
          <w:b/>
          <w:noProof/>
          <w:sz w:val="20"/>
          <w:szCs w:val="20"/>
          <w:lang w:eastAsia="en-US"/>
        </w:rPr>
        <w:tab/>
      </w:r>
      <w:r w:rsidR="00EB57F4" w:rsidRPr="00EB57F4">
        <w:rPr>
          <w:rFonts w:ascii="Arial" w:hAnsi="Arial" w:cs="Arial"/>
          <w:noProof/>
          <w:sz w:val="20"/>
          <w:szCs w:val="20"/>
          <w:vertAlign w:val="superscript"/>
          <w:lang w:eastAsia="en-US"/>
        </w:rPr>
        <w:t>35</w:t>
      </w:r>
      <w:r w:rsidR="00EB57F4" w:rsidRPr="00EB57F4">
        <w:rPr>
          <w:rFonts w:ascii="Arial" w:hAnsi="Arial" w:cs="Arial"/>
          <w:noProof/>
          <w:sz w:val="20"/>
          <w:szCs w:val="20"/>
          <w:lang w:eastAsia="en-US"/>
        </w:rPr>
        <w:t>Cl SSNMR experiments were conducted at the NHMFL in Tallahassee, FL using the 900 MHz N</w:t>
      </w:r>
      <w:r w:rsidR="002807CB">
        <w:rPr>
          <w:rFonts w:ascii="Arial" w:hAnsi="Arial" w:cs="Arial"/>
          <w:noProof/>
          <w:sz w:val="20"/>
          <w:szCs w:val="20"/>
          <w:lang w:eastAsia="en-US"/>
        </w:rPr>
        <w:t>MR spectrometer and a 3.2 mm H</w:t>
      </w:r>
      <w:r w:rsidR="00EB57F4" w:rsidRPr="00EB57F4">
        <w:rPr>
          <w:rFonts w:ascii="Arial" w:hAnsi="Arial" w:cs="Arial"/>
          <w:noProof/>
          <w:sz w:val="20"/>
          <w:szCs w:val="20"/>
          <w:lang w:eastAsia="en-US"/>
        </w:rPr>
        <w:t xml:space="preserve">X MAS probe. Spectra were acquired with the </w:t>
      </w:r>
      <w:r w:rsidR="00AF7E3A">
        <w:rPr>
          <w:rFonts w:ascii="Arial" w:hAnsi="Arial" w:cs="Arial"/>
          <w:noProof/>
          <w:sz w:val="20"/>
          <w:szCs w:val="20"/>
          <w:lang w:eastAsia="en-US"/>
        </w:rPr>
        <w:t>Q</w:t>
      </w:r>
      <w:r w:rsidR="00EB57F4" w:rsidRPr="00EB57F4">
        <w:rPr>
          <w:rFonts w:ascii="Arial" w:hAnsi="Arial" w:cs="Arial"/>
          <w:noProof/>
          <w:sz w:val="20"/>
          <w:szCs w:val="20"/>
          <w:lang w:eastAsia="en-US"/>
        </w:rPr>
        <w:t>CPMG</w:t>
      </w:r>
      <w:r w:rsidR="00685D81" w:rsidRPr="00685D81">
        <w:rPr>
          <w:rFonts w:ascii="Arial" w:hAnsi="Arial" w:cs="Arial"/>
          <w:noProof/>
          <w:sz w:val="20"/>
          <w:szCs w:val="20"/>
          <w:vertAlign w:val="superscript"/>
          <w:lang w:eastAsia="en-US"/>
        </w:rPr>
        <w:t>5</w:t>
      </w:r>
      <w:r w:rsidR="00EB57F4" w:rsidRPr="00EB57F4">
        <w:rPr>
          <w:rFonts w:ascii="Arial" w:hAnsi="Arial" w:cs="Arial"/>
          <w:noProof/>
          <w:sz w:val="20"/>
          <w:szCs w:val="20"/>
          <w:lang w:eastAsia="en-US"/>
        </w:rPr>
        <w:t xml:space="preserve"> and BRAIN-CP/WURST-CPMG (BCP) pulse sequences.</w:t>
      </w:r>
      <w:r w:rsidR="00685D81">
        <w:rPr>
          <w:rFonts w:ascii="Arial" w:hAnsi="Arial" w:cs="Arial"/>
          <w:noProof/>
          <w:sz w:val="20"/>
          <w:szCs w:val="20"/>
          <w:vertAlign w:val="superscript"/>
          <w:lang w:eastAsia="en-US"/>
        </w:rPr>
        <w:t>6</w:t>
      </w:r>
      <w:r w:rsidR="00EB57F4" w:rsidRPr="00EB57F4">
        <w:rPr>
          <w:rFonts w:ascii="Arial" w:hAnsi="Arial" w:cs="Arial"/>
          <w:noProof/>
          <w:sz w:val="20"/>
          <w:szCs w:val="20"/>
          <w:lang w:eastAsia="en-US"/>
        </w:rPr>
        <w:t xml:space="preserve"> Samples were purchased from Sigma-Aldrich or prepared according to </w:t>
      </w:r>
      <w:r w:rsidR="007D6BE6">
        <w:rPr>
          <w:rFonts w:ascii="Arial" w:hAnsi="Arial" w:cs="Arial"/>
          <w:noProof/>
          <w:sz w:val="20"/>
          <w:szCs w:val="20"/>
          <w:lang w:eastAsia="en-US"/>
        </w:rPr>
        <w:t xml:space="preserve">literature </w:t>
      </w:r>
      <w:r w:rsidR="00EB57F4" w:rsidRPr="00EB57F4">
        <w:rPr>
          <w:rFonts w:ascii="Arial" w:hAnsi="Arial" w:cs="Arial"/>
          <w:noProof/>
          <w:sz w:val="20"/>
          <w:szCs w:val="20"/>
          <w:lang w:eastAsia="en-US"/>
        </w:rPr>
        <w:t>methods</w:t>
      </w:r>
      <w:r w:rsidR="009B4187">
        <w:rPr>
          <w:rFonts w:ascii="Arial" w:hAnsi="Arial" w:cs="Arial"/>
          <w:noProof/>
          <w:sz w:val="20"/>
          <w:szCs w:val="20"/>
          <w:lang w:eastAsia="en-US"/>
        </w:rPr>
        <w:t>.</w:t>
      </w:r>
    </w:p>
    <w:p w14:paraId="2D493BC8" w14:textId="260BFF6F" w:rsidR="009B4187" w:rsidRDefault="00EB57F4" w:rsidP="001E01DF">
      <w:pPr>
        <w:tabs>
          <w:tab w:val="left" w:pos="360"/>
        </w:tabs>
        <w:spacing w:before="120"/>
        <w:rPr>
          <w:rFonts w:ascii="Arial" w:hAnsi="Arial" w:cs="Arial"/>
          <w:b/>
          <w:noProof/>
          <w:sz w:val="20"/>
          <w:szCs w:val="20"/>
          <w:lang w:eastAsia="en-US"/>
        </w:rPr>
      </w:pPr>
      <w:r w:rsidRPr="00EB57F4">
        <w:rPr>
          <w:rFonts w:ascii="Arial" w:hAnsi="Arial" w:cs="Arial"/>
          <w:b/>
          <w:noProof/>
          <w:sz w:val="20"/>
          <w:szCs w:val="20"/>
          <w:lang w:eastAsia="en-US"/>
        </w:rPr>
        <w:t>Results and Discussion</w:t>
      </w:r>
    </w:p>
    <w:p w14:paraId="1862C2FD" w14:textId="1C621AD5" w:rsidR="00EB57F4" w:rsidRPr="00DF0C34" w:rsidRDefault="009B4187" w:rsidP="00DB4322">
      <w:pPr>
        <w:tabs>
          <w:tab w:val="left" w:pos="360"/>
        </w:tabs>
        <w:rPr>
          <w:rFonts w:ascii="Arial" w:hAnsi="Arial" w:cs="Arial"/>
          <w:b/>
          <w:noProof/>
          <w:sz w:val="20"/>
          <w:szCs w:val="20"/>
          <w:lang w:eastAsia="en-US"/>
        </w:rPr>
      </w:pPr>
      <w:r>
        <w:rPr>
          <w:rFonts w:ascii="Arial" w:hAnsi="Arial" w:cs="Arial"/>
          <w:b/>
          <w:noProof/>
          <w:sz w:val="20"/>
          <w:szCs w:val="20"/>
          <w:lang w:eastAsia="en-US"/>
        </w:rPr>
        <w:tab/>
      </w:r>
      <w:r w:rsidR="00EB57F4" w:rsidRPr="00EB57F4">
        <w:rPr>
          <w:rFonts w:ascii="Arial" w:hAnsi="Arial" w:cs="Arial"/>
          <w:noProof/>
          <w:sz w:val="20"/>
          <w:szCs w:val="20"/>
          <w:vertAlign w:val="superscript"/>
          <w:lang w:eastAsia="en-US"/>
        </w:rPr>
        <w:t>35</w:t>
      </w:r>
      <w:r w:rsidR="00EB57F4" w:rsidRPr="00EB57F4">
        <w:rPr>
          <w:rFonts w:ascii="Arial" w:hAnsi="Arial" w:cs="Arial"/>
          <w:noProof/>
          <w:sz w:val="20"/>
          <w:szCs w:val="20"/>
          <w:lang w:eastAsia="en-US"/>
        </w:rPr>
        <w:t xml:space="preserve">Cl SSNMR spectra of two polymorphs of </w:t>
      </w:r>
      <w:r w:rsidR="00BB20B2">
        <w:rPr>
          <w:rFonts w:ascii="Arial" w:hAnsi="Arial" w:cs="Arial"/>
          <w:b/>
          <w:noProof/>
          <w:sz w:val="20"/>
          <w:szCs w:val="20"/>
          <w:lang w:eastAsia="en-US"/>
        </w:rPr>
        <w:t>isoxsuprine</w:t>
      </w:r>
      <w:r w:rsidR="00EB57F4" w:rsidRPr="00EB57F4">
        <w:rPr>
          <w:rFonts w:ascii="Arial" w:hAnsi="Arial" w:cs="Arial"/>
          <w:noProof/>
          <w:sz w:val="20"/>
          <w:szCs w:val="20"/>
          <w:lang w:eastAsia="en-US"/>
        </w:rPr>
        <w:t xml:space="preserve"> </w:t>
      </w:r>
      <w:r w:rsidR="00EB57F4" w:rsidRPr="002B7E42">
        <w:rPr>
          <w:rFonts w:ascii="Arial" w:hAnsi="Arial" w:cs="Arial"/>
          <w:b/>
          <w:noProof/>
          <w:sz w:val="20"/>
          <w:szCs w:val="20"/>
          <w:lang w:eastAsia="en-US"/>
        </w:rPr>
        <w:t>HCl</w:t>
      </w:r>
      <w:r w:rsidR="00EB57F4" w:rsidRPr="00EB57F4">
        <w:rPr>
          <w:rFonts w:ascii="Arial" w:hAnsi="Arial" w:cs="Arial"/>
          <w:noProof/>
          <w:sz w:val="20"/>
          <w:szCs w:val="20"/>
          <w:lang w:eastAsia="en-US"/>
        </w:rPr>
        <w:t xml:space="preserve"> </w:t>
      </w:r>
      <w:r w:rsidR="00E652FE">
        <w:rPr>
          <w:rFonts w:ascii="Arial" w:hAnsi="Arial" w:cs="Arial"/>
          <w:noProof/>
          <w:sz w:val="20"/>
          <w:szCs w:val="20"/>
          <w:lang w:eastAsia="en-US"/>
        </w:rPr>
        <w:t>(</w:t>
      </w:r>
      <w:r w:rsidR="00E652FE" w:rsidRPr="00E652FE">
        <w:rPr>
          <w:rFonts w:ascii="Arial" w:hAnsi="Arial" w:cs="Arial"/>
          <w:b/>
          <w:noProof/>
          <w:sz w:val="20"/>
          <w:szCs w:val="20"/>
          <w:lang w:eastAsia="en-US"/>
        </w:rPr>
        <w:t>IsoxI</w:t>
      </w:r>
      <w:r w:rsidR="00E652FE">
        <w:rPr>
          <w:rFonts w:ascii="Arial" w:hAnsi="Arial" w:cs="Arial"/>
          <w:noProof/>
          <w:sz w:val="20"/>
          <w:szCs w:val="20"/>
          <w:lang w:eastAsia="en-US"/>
        </w:rPr>
        <w:t xml:space="preserve"> and </w:t>
      </w:r>
      <w:r w:rsidR="00E652FE" w:rsidRPr="00E652FE">
        <w:rPr>
          <w:rFonts w:ascii="Arial" w:hAnsi="Arial" w:cs="Arial"/>
          <w:b/>
          <w:noProof/>
          <w:sz w:val="20"/>
          <w:szCs w:val="20"/>
          <w:lang w:eastAsia="en-US"/>
        </w:rPr>
        <w:t>IsoxII</w:t>
      </w:r>
      <w:r w:rsidR="00E652FE">
        <w:rPr>
          <w:rFonts w:ascii="Arial" w:hAnsi="Arial" w:cs="Arial"/>
          <w:noProof/>
          <w:sz w:val="20"/>
          <w:szCs w:val="20"/>
          <w:lang w:eastAsia="en-US"/>
        </w:rPr>
        <w:t xml:space="preserve">) </w:t>
      </w:r>
      <w:r w:rsidR="00EB57F4" w:rsidRPr="00EB57F4">
        <w:rPr>
          <w:rFonts w:ascii="Arial" w:hAnsi="Arial" w:cs="Arial"/>
          <w:noProof/>
          <w:sz w:val="20"/>
          <w:szCs w:val="20"/>
          <w:lang w:eastAsia="en-US"/>
        </w:rPr>
        <w:t xml:space="preserve">were acquired in short experimental times </w:t>
      </w:r>
      <w:r w:rsidR="00621699">
        <w:rPr>
          <w:rFonts w:ascii="Arial" w:hAnsi="Arial" w:cs="Arial"/>
          <w:noProof/>
          <w:sz w:val="20"/>
          <w:szCs w:val="20"/>
          <w:lang w:eastAsia="en-US"/>
        </w:rPr>
        <w:t xml:space="preserve">at 21.1 T </w:t>
      </w:r>
      <w:r w:rsidR="00435037">
        <w:rPr>
          <w:rFonts w:ascii="Arial" w:hAnsi="Arial" w:cs="Arial"/>
          <w:noProof/>
          <w:sz w:val="20"/>
          <w:szCs w:val="20"/>
          <w:lang w:eastAsia="en-US"/>
        </w:rPr>
        <w:t>(f</w:t>
      </w:r>
      <w:r w:rsidR="002343A9">
        <w:rPr>
          <w:rFonts w:ascii="Arial" w:hAnsi="Arial" w:cs="Arial"/>
          <w:noProof/>
          <w:sz w:val="20"/>
          <w:szCs w:val="20"/>
          <w:lang w:eastAsia="en-US"/>
        </w:rPr>
        <w:t xml:space="preserve">igs. </w:t>
      </w:r>
      <w:r w:rsidR="002343A9" w:rsidRPr="002343A9">
        <w:rPr>
          <w:rFonts w:ascii="Arial" w:hAnsi="Arial" w:cs="Arial"/>
          <w:b/>
          <w:noProof/>
          <w:sz w:val="20"/>
          <w:szCs w:val="20"/>
          <w:lang w:eastAsia="en-US"/>
        </w:rPr>
        <w:t>b</w:t>
      </w:r>
      <w:r w:rsidR="002343A9">
        <w:rPr>
          <w:rFonts w:ascii="Arial" w:hAnsi="Arial" w:cs="Arial"/>
          <w:noProof/>
          <w:sz w:val="20"/>
          <w:szCs w:val="20"/>
          <w:lang w:eastAsia="en-US"/>
        </w:rPr>
        <w:t xml:space="preserve"> and </w:t>
      </w:r>
      <w:r w:rsidR="002343A9" w:rsidRPr="002343A9">
        <w:rPr>
          <w:rFonts w:ascii="Arial" w:hAnsi="Arial" w:cs="Arial"/>
          <w:b/>
          <w:noProof/>
          <w:sz w:val="20"/>
          <w:szCs w:val="20"/>
          <w:lang w:eastAsia="en-US"/>
        </w:rPr>
        <w:t>d</w:t>
      </w:r>
      <w:r w:rsidR="002343A9">
        <w:rPr>
          <w:rFonts w:ascii="Arial" w:hAnsi="Arial" w:cs="Arial"/>
          <w:noProof/>
          <w:sz w:val="20"/>
          <w:szCs w:val="20"/>
          <w:lang w:eastAsia="en-US"/>
        </w:rPr>
        <w:t>)</w:t>
      </w:r>
      <w:r w:rsidR="00BB20B2">
        <w:rPr>
          <w:rFonts w:ascii="Arial" w:hAnsi="Arial" w:cs="Arial"/>
          <w:noProof/>
          <w:sz w:val="20"/>
          <w:szCs w:val="20"/>
          <w:lang w:eastAsia="en-US"/>
        </w:rPr>
        <w:t>.</w:t>
      </w:r>
      <w:r w:rsidR="00EB57F4" w:rsidRPr="00EB57F4">
        <w:rPr>
          <w:rFonts w:ascii="Arial" w:hAnsi="Arial" w:cs="Arial"/>
          <w:noProof/>
          <w:sz w:val="20"/>
          <w:szCs w:val="20"/>
          <w:lang w:eastAsia="en-US"/>
        </w:rPr>
        <w:t xml:space="preserve"> The polymorphs </w:t>
      </w:r>
      <w:r w:rsidR="00BB20B2">
        <w:rPr>
          <w:rFonts w:ascii="Arial" w:hAnsi="Arial" w:cs="Arial"/>
          <w:noProof/>
          <w:sz w:val="20"/>
          <w:szCs w:val="20"/>
          <w:lang w:eastAsia="en-US"/>
        </w:rPr>
        <w:t>are</w:t>
      </w:r>
      <w:r w:rsidR="00EB57F4" w:rsidRPr="00EB57F4">
        <w:rPr>
          <w:rFonts w:ascii="Arial" w:hAnsi="Arial" w:cs="Arial"/>
          <w:noProof/>
          <w:sz w:val="20"/>
          <w:szCs w:val="20"/>
          <w:lang w:eastAsia="en-US"/>
        </w:rPr>
        <w:t xml:space="preserve"> easily differentiated </w:t>
      </w:r>
      <w:r w:rsidR="00795D4C">
        <w:rPr>
          <w:rFonts w:ascii="Arial" w:hAnsi="Arial" w:cs="Arial"/>
          <w:noProof/>
          <w:sz w:val="20"/>
          <w:szCs w:val="20"/>
          <w:lang w:eastAsia="en-US"/>
        </w:rPr>
        <w:t>with</w:t>
      </w:r>
      <w:r w:rsidR="00571DCD">
        <w:rPr>
          <w:rFonts w:ascii="Arial" w:hAnsi="Arial" w:cs="Arial"/>
          <w:noProof/>
          <w:sz w:val="20"/>
          <w:szCs w:val="20"/>
          <w:lang w:eastAsia="en-US"/>
        </w:rPr>
        <w:t xml:space="preserve"> simulations (figs. </w:t>
      </w:r>
      <w:r w:rsidR="00571DCD" w:rsidRPr="00571DCD">
        <w:rPr>
          <w:rFonts w:ascii="Arial" w:hAnsi="Arial" w:cs="Arial"/>
          <w:b/>
          <w:noProof/>
          <w:sz w:val="20"/>
          <w:szCs w:val="20"/>
          <w:lang w:eastAsia="en-US"/>
        </w:rPr>
        <w:t>c</w:t>
      </w:r>
      <w:r w:rsidR="00571DCD">
        <w:rPr>
          <w:rFonts w:ascii="Arial" w:hAnsi="Arial" w:cs="Arial"/>
          <w:noProof/>
          <w:sz w:val="20"/>
          <w:szCs w:val="20"/>
          <w:lang w:eastAsia="en-US"/>
        </w:rPr>
        <w:t xml:space="preserve"> and </w:t>
      </w:r>
      <w:r w:rsidR="00571DCD" w:rsidRPr="00571DCD">
        <w:rPr>
          <w:rFonts w:ascii="Arial" w:hAnsi="Arial" w:cs="Arial"/>
          <w:b/>
          <w:noProof/>
          <w:sz w:val="20"/>
          <w:szCs w:val="20"/>
          <w:lang w:eastAsia="en-US"/>
        </w:rPr>
        <w:t>e</w:t>
      </w:r>
      <w:r w:rsidR="00571DCD">
        <w:rPr>
          <w:rFonts w:ascii="Arial" w:hAnsi="Arial" w:cs="Arial"/>
          <w:noProof/>
          <w:sz w:val="20"/>
          <w:szCs w:val="20"/>
          <w:lang w:eastAsia="en-US"/>
        </w:rPr>
        <w:t>)</w:t>
      </w:r>
      <w:r w:rsidR="0002041D">
        <w:rPr>
          <w:rFonts w:ascii="Arial" w:hAnsi="Arial" w:cs="Arial"/>
          <w:noProof/>
          <w:sz w:val="20"/>
          <w:szCs w:val="20"/>
          <w:lang w:eastAsia="en-US"/>
        </w:rPr>
        <w:t xml:space="preserve"> </w:t>
      </w:r>
      <w:r w:rsidR="00EB57F4" w:rsidRPr="00EB57F4">
        <w:rPr>
          <w:rFonts w:ascii="Arial" w:hAnsi="Arial" w:cs="Arial"/>
          <w:noProof/>
          <w:sz w:val="20"/>
          <w:szCs w:val="20"/>
          <w:lang w:eastAsia="en-US"/>
        </w:rPr>
        <w:t xml:space="preserve">due to </w:t>
      </w:r>
      <w:r w:rsidR="00566064">
        <w:rPr>
          <w:rFonts w:ascii="Arial" w:hAnsi="Arial" w:cs="Arial"/>
          <w:noProof/>
          <w:sz w:val="20"/>
          <w:szCs w:val="20"/>
          <w:lang w:eastAsia="en-US"/>
        </w:rPr>
        <w:t xml:space="preserve">the </w:t>
      </w:r>
      <w:r w:rsidR="00EB57F4" w:rsidRPr="00EB57F4">
        <w:rPr>
          <w:rFonts w:ascii="Arial" w:hAnsi="Arial" w:cs="Arial"/>
          <w:noProof/>
          <w:sz w:val="20"/>
          <w:szCs w:val="20"/>
          <w:lang w:eastAsia="en-US"/>
        </w:rPr>
        <w:t>different</w:t>
      </w:r>
      <w:r w:rsidR="00571DCD">
        <w:rPr>
          <w:rFonts w:ascii="Arial" w:hAnsi="Arial" w:cs="Arial"/>
          <w:noProof/>
          <w:sz w:val="20"/>
          <w:szCs w:val="20"/>
          <w:lang w:eastAsia="en-US"/>
        </w:rPr>
        <w:t xml:space="preserve"> </w:t>
      </w:r>
      <w:r w:rsidR="00EB57F4" w:rsidRPr="00EB57F4">
        <w:rPr>
          <w:rFonts w:ascii="Arial" w:hAnsi="Arial" w:cs="Arial"/>
          <w:noProof/>
          <w:sz w:val="20"/>
          <w:szCs w:val="20"/>
          <w:lang w:eastAsia="en-US"/>
        </w:rPr>
        <w:t xml:space="preserve">quadrupolar parameters </w:t>
      </w:r>
      <w:r w:rsidR="00571DCD">
        <w:rPr>
          <w:rFonts w:ascii="Arial" w:hAnsi="Arial" w:cs="Arial"/>
          <w:noProof/>
          <w:sz w:val="20"/>
          <w:szCs w:val="20"/>
          <w:lang w:eastAsia="en-US"/>
        </w:rPr>
        <w:t>for</w:t>
      </w:r>
      <w:r w:rsidR="00EB57F4" w:rsidRPr="00EB57F4">
        <w:rPr>
          <w:rFonts w:ascii="Arial" w:hAnsi="Arial" w:cs="Arial"/>
          <w:noProof/>
          <w:sz w:val="20"/>
          <w:szCs w:val="20"/>
          <w:lang w:eastAsia="en-US"/>
        </w:rPr>
        <w:t xml:space="preserve"> </w:t>
      </w:r>
      <w:r w:rsidR="00BF77F3">
        <w:rPr>
          <w:rFonts w:ascii="Arial" w:hAnsi="Arial" w:cs="Arial"/>
          <w:noProof/>
          <w:sz w:val="20"/>
          <w:szCs w:val="20"/>
          <w:lang w:eastAsia="en-US"/>
        </w:rPr>
        <w:t>each</w:t>
      </w:r>
      <w:r w:rsidR="00EB57F4" w:rsidRPr="00EB57F4">
        <w:rPr>
          <w:rFonts w:ascii="Arial" w:hAnsi="Arial" w:cs="Arial"/>
          <w:noProof/>
          <w:sz w:val="20"/>
          <w:szCs w:val="20"/>
          <w:lang w:eastAsia="en-US"/>
        </w:rPr>
        <w:t xml:space="preserve"> </w:t>
      </w:r>
      <w:r w:rsidR="00BF77F3">
        <w:rPr>
          <w:rFonts w:ascii="Arial" w:hAnsi="Arial" w:cs="Arial"/>
          <w:noProof/>
          <w:sz w:val="20"/>
          <w:szCs w:val="20"/>
          <w:lang w:eastAsia="en-US"/>
        </w:rPr>
        <w:t>polymorph</w:t>
      </w:r>
      <w:r w:rsidR="00EB57F4" w:rsidRPr="00EB57F4">
        <w:rPr>
          <w:rFonts w:ascii="Arial" w:hAnsi="Arial" w:cs="Arial"/>
          <w:noProof/>
          <w:sz w:val="20"/>
          <w:szCs w:val="20"/>
          <w:lang w:eastAsia="en-US"/>
        </w:rPr>
        <w:t xml:space="preserve">. During the </w:t>
      </w:r>
      <w:r w:rsidR="002C71EE">
        <w:rPr>
          <w:rFonts w:ascii="Arial" w:hAnsi="Arial" w:cs="Arial"/>
          <w:noProof/>
          <w:sz w:val="20"/>
          <w:szCs w:val="20"/>
          <w:lang w:eastAsia="en-US"/>
        </w:rPr>
        <w:t>production</w:t>
      </w:r>
      <w:r w:rsidR="006D030A">
        <w:rPr>
          <w:rFonts w:ascii="Arial" w:hAnsi="Arial" w:cs="Arial"/>
          <w:noProof/>
          <w:sz w:val="20"/>
          <w:szCs w:val="20"/>
          <w:lang w:eastAsia="en-US"/>
        </w:rPr>
        <w:t xml:space="preserve"> of dosage forms, </w:t>
      </w:r>
      <w:r w:rsidR="00EB57F4" w:rsidRPr="00EB57F4">
        <w:rPr>
          <w:rFonts w:ascii="Arial" w:hAnsi="Arial" w:cs="Arial"/>
          <w:noProof/>
          <w:sz w:val="20"/>
          <w:szCs w:val="20"/>
          <w:lang w:eastAsia="en-US"/>
        </w:rPr>
        <w:t>the API is generally mixed into an excipient matrix (</w:t>
      </w:r>
      <w:r w:rsidR="00767DFA">
        <w:rPr>
          <w:rFonts w:ascii="Arial" w:hAnsi="Arial" w:cs="Arial"/>
          <w:noProof/>
          <w:sz w:val="20"/>
          <w:szCs w:val="20"/>
          <w:lang w:eastAsia="en-US"/>
        </w:rPr>
        <w:t>cellulose</w:t>
      </w:r>
      <w:r w:rsidR="00EB57F4" w:rsidRPr="00EB57F4">
        <w:rPr>
          <w:rFonts w:ascii="Arial" w:hAnsi="Arial" w:cs="Arial"/>
          <w:noProof/>
          <w:sz w:val="20"/>
          <w:szCs w:val="20"/>
          <w:lang w:eastAsia="en-US"/>
        </w:rPr>
        <w:t>, binders, etc.)</w:t>
      </w:r>
      <w:r w:rsidR="001E01DF">
        <w:rPr>
          <w:rFonts w:ascii="Arial" w:hAnsi="Arial" w:cs="Arial"/>
          <w:noProof/>
          <w:sz w:val="20"/>
          <w:szCs w:val="20"/>
          <w:lang w:eastAsia="en-US"/>
        </w:rPr>
        <w:t>,</w:t>
      </w:r>
      <w:r w:rsidR="00EB57F4" w:rsidRPr="00EB57F4">
        <w:rPr>
          <w:rFonts w:ascii="Arial" w:hAnsi="Arial" w:cs="Arial"/>
          <w:noProof/>
          <w:sz w:val="20"/>
          <w:szCs w:val="20"/>
          <w:lang w:eastAsia="en-US"/>
        </w:rPr>
        <w:t xml:space="preserve"> which </w:t>
      </w:r>
      <w:r w:rsidR="00EF71B0">
        <w:rPr>
          <w:rFonts w:ascii="Arial" w:hAnsi="Arial" w:cs="Arial"/>
          <w:noProof/>
          <w:sz w:val="20"/>
          <w:szCs w:val="20"/>
          <w:lang w:eastAsia="en-US"/>
        </w:rPr>
        <w:t>often render</w:t>
      </w:r>
      <w:r w:rsidR="00652562">
        <w:rPr>
          <w:rFonts w:ascii="Arial" w:hAnsi="Arial" w:cs="Arial"/>
          <w:noProof/>
          <w:sz w:val="20"/>
          <w:szCs w:val="20"/>
          <w:lang w:eastAsia="en-US"/>
        </w:rPr>
        <w:t>s</w:t>
      </w:r>
      <w:r w:rsidR="00EB57F4" w:rsidRPr="00EB57F4">
        <w:rPr>
          <w:rFonts w:ascii="Arial" w:hAnsi="Arial" w:cs="Arial"/>
          <w:noProof/>
          <w:sz w:val="20"/>
          <w:szCs w:val="20"/>
          <w:lang w:eastAsia="en-US"/>
        </w:rPr>
        <w:t xml:space="preserve"> </w:t>
      </w:r>
      <w:r w:rsidR="00EB57F4" w:rsidRPr="003A4097">
        <w:rPr>
          <w:rFonts w:ascii="Arial" w:hAnsi="Arial" w:cs="Arial"/>
          <w:noProof/>
          <w:sz w:val="20"/>
          <w:szCs w:val="20"/>
          <w:vertAlign w:val="superscript"/>
          <w:lang w:eastAsia="en-US"/>
        </w:rPr>
        <w:t>13</w:t>
      </w:r>
      <w:r w:rsidR="00EB57F4" w:rsidRPr="00EB57F4">
        <w:rPr>
          <w:rFonts w:ascii="Arial" w:hAnsi="Arial" w:cs="Arial"/>
          <w:noProof/>
          <w:sz w:val="20"/>
          <w:szCs w:val="20"/>
          <w:lang w:eastAsia="en-US"/>
        </w:rPr>
        <w:t xml:space="preserve">C NMR spectra </w:t>
      </w:r>
      <w:r w:rsidR="007C49DA">
        <w:rPr>
          <w:rFonts w:ascii="Arial" w:hAnsi="Arial" w:cs="Arial"/>
          <w:noProof/>
          <w:sz w:val="20"/>
          <w:szCs w:val="20"/>
          <w:lang w:eastAsia="en-US"/>
        </w:rPr>
        <w:t>unhelpful</w:t>
      </w:r>
      <w:r w:rsidR="00EB57F4" w:rsidRPr="00EB57F4">
        <w:rPr>
          <w:rFonts w:ascii="Arial" w:hAnsi="Arial" w:cs="Arial"/>
          <w:noProof/>
          <w:sz w:val="20"/>
          <w:szCs w:val="20"/>
          <w:lang w:eastAsia="en-US"/>
        </w:rPr>
        <w:t xml:space="preserve"> due to overlap of signal</w:t>
      </w:r>
      <w:r w:rsidR="009928C4">
        <w:rPr>
          <w:rFonts w:ascii="Arial" w:hAnsi="Arial" w:cs="Arial"/>
          <w:noProof/>
          <w:sz w:val="20"/>
          <w:szCs w:val="20"/>
          <w:lang w:eastAsia="en-US"/>
        </w:rPr>
        <w:t>s</w:t>
      </w:r>
      <w:r w:rsidR="00EB57F4" w:rsidRPr="00EB57F4">
        <w:rPr>
          <w:rFonts w:ascii="Arial" w:hAnsi="Arial" w:cs="Arial"/>
          <w:noProof/>
          <w:sz w:val="20"/>
          <w:szCs w:val="20"/>
          <w:lang w:eastAsia="en-US"/>
        </w:rPr>
        <w:t xml:space="preserve"> from the excipient </w:t>
      </w:r>
      <w:r w:rsidR="009928C4">
        <w:rPr>
          <w:rFonts w:ascii="Arial" w:hAnsi="Arial" w:cs="Arial"/>
          <w:noProof/>
          <w:sz w:val="20"/>
          <w:szCs w:val="20"/>
          <w:lang w:eastAsia="en-US"/>
        </w:rPr>
        <w:t xml:space="preserve">and </w:t>
      </w:r>
      <w:r w:rsidR="00EB57F4" w:rsidRPr="00EB57F4">
        <w:rPr>
          <w:rFonts w:ascii="Arial" w:hAnsi="Arial" w:cs="Arial"/>
          <w:noProof/>
          <w:sz w:val="20"/>
          <w:szCs w:val="20"/>
          <w:lang w:eastAsia="en-US"/>
        </w:rPr>
        <w:t xml:space="preserve">API. </w:t>
      </w:r>
      <w:r w:rsidR="00011B16">
        <w:rPr>
          <w:rFonts w:ascii="Arial" w:hAnsi="Arial" w:cs="Arial"/>
          <w:noProof/>
          <w:sz w:val="20"/>
          <w:szCs w:val="20"/>
          <w:lang w:eastAsia="en-US"/>
        </w:rPr>
        <w:t>Since</w:t>
      </w:r>
      <w:r w:rsidR="00EB57F4" w:rsidRPr="00EB57F4">
        <w:rPr>
          <w:rFonts w:ascii="Arial" w:hAnsi="Arial" w:cs="Arial"/>
          <w:noProof/>
          <w:sz w:val="20"/>
          <w:szCs w:val="20"/>
          <w:lang w:eastAsia="en-US"/>
        </w:rPr>
        <w:t xml:space="preserve"> the excipient does not contain chlorine atoms, undistorted </w:t>
      </w:r>
      <w:r w:rsidR="00EB57F4" w:rsidRPr="003A4097">
        <w:rPr>
          <w:rFonts w:ascii="Arial" w:hAnsi="Arial" w:cs="Arial"/>
          <w:noProof/>
          <w:sz w:val="20"/>
          <w:szCs w:val="20"/>
          <w:vertAlign w:val="superscript"/>
          <w:lang w:eastAsia="en-US"/>
        </w:rPr>
        <w:t>35</w:t>
      </w:r>
      <w:r w:rsidR="00EB57F4" w:rsidRPr="00EB57F4">
        <w:rPr>
          <w:rFonts w:ascii="Arial" w:hAnsi="Arial" w:cs="Arial"/>
          <w:noProof/>
          <w:sz w:val="20"/>
          <w:szCs w:val="20"/>
          <w:lang w:eastAsia="en-US"/>
        </w:rPr>
        <w:t>Cl SSNMR powder pattern</w:t>
      </w:r>
      <w:r w:rsidR="00952671">
        <w:rPr>
          <w:rFonts w:ascii="Arial" w:hAnsi="Arial" w:cs="Arial"/>
          <w:noProof/>
          <w:sz w:val="20"/>
          <w:szCs w:val="20"/>
          <w:lang w:eastAsia="en-US"/>
        </w:rPr>
        <w:t>s</w:t>
      </w:r>
      <w:r w:rsidR="00EB57F4" w:rsidRPr="00EB57F4">
        <w:rPr>
          <w:rFonts w:ascii="Arial" w:hAnsi="Arial" w:cs="Arial"/>
          <w:noProof/>
          <w:sz w:val="20"/>
          <w:szCs w:val="20"/>
          <w:lang w:eastAsia="en-US"/>
        </w:rPr>
        <w:t xml:space="preserve"> arising purely from the API</w:t>
      </w:r>
      <w:r w:rsidR="00186AB8">
        <w:rPr>
          <w:rFonts w:ascii="Arial" w:hAnsi="Arial" w:cs="Arial"/>
          <w:noProof/>
          <w:sz w:val="20"/>
          <w:szCs w:val="20"/>
          <w:lang w:eastAsia="en-US"/>
        </w:rPr>
        <w:t xml:space="preserve"> are observed</w:t>
      </w:r>
      <w:r w:rsidR="00EB57F4" w:rsidRPr="00EB57F4">
        <w:rPr>
          <w:rFonts w:ascii="Arial" w:hAnsi="Arial" w:cs="Arial"/>
          <w:noProof/>
          <w:sz w:val="20"/>
          <w:szCs w:val="20"/>
          <w:lang w:eastAsia="en-US"/>
        </w:rPr>
        <w:t xml:space="preserve">, </w:t>
      </w:r>
      <w:r w:rsidR="00776494">
        <w:rPr>
          <w:rFonts w:ascii="Arial" w:hAnsi="Arial" w:cs="Arial"/>
          <w:noProof/>
          <w:sz w:val="20"/>
          <w:szCs w:val="20"/>
          <w:lang w:eastAsia="en-US"/>
        </w:rPr>
        <w:t>allowing easy i</w:t>
      </w:r>
      <w:r w:rsidR="000D1B6E">
        <w:rPr>
          <w:rFonts w:ascii="Arial" w:hAnsi="Arial" w:cs="Arial"/>
          <w:noProof/>
          <w:sz w:val="20"/>
          <w:szCs w:val="20"/>
          <w:lang w:eastAsia="en-US"/>
        </w:rPr>
        <w:t xml:space="preserve">dentification </w:t>
      </w:r>
      <w:r w:rsidR="00EB57F4" w:rsidRPr="00EB57F4">
        <w:rPr>
          <w:rFonts w:ascii="Arial" w:hAnsi="Arial" w:cs="Arial"/>
          <w:noProof/>
          <w:sz w:val="20"/>
          <w:szCs w:val="20"/>
          <w:lang w:eastAsia="en-US"/>
        </w:rPr>
        <w:t xml:space="preserve">of the </w:t>
      </w:r>
      <w:r w:rsidR="00186AB8">
        <w:rPr>
          <w:rFonts w:ascii="Arial" w:hAnsi="Arial" w:cs="Arial"/>
          <w:noProof/>
          <w:sz w:val="20"/>
          <w:szCs w:val="20"/>
          <w:lang w:eastAsia="en-US"/>
        </w:rPr>
        <w:t>phase</w:t>
      </w:r>
      <w:r w:rsidR="00EB57F4" w:rsidRPr="00EB57F4">
        <w:rPr>
          <w:rFonts w:ascii="Arial" w:hAnsi="Arial" w:cs="Arial"/>
          <w:noProof/>
          <w:sz w:val="20"/>
          <w:szCs w:val="20"/>
          <w:lang w:eastAsia="en-US"/>
        </w:rPr>
        <w:t xml:space="preserve"> in the dosage form (</w:t>
      </w:r>
      <w:r w:rsidR="00186AB8">
        <w:rPr>
          <w:rFonts w:ascii="Arial" w:hAnsi="Arial" w:cs="Arial"/>
          <w:b/>
          <w:noProof/>
          <w:sz w:val="20"/>
          <w:szCs w:val="20"/>
          <w:lang w:eastAsia="en-US"/>
        </w:rPr>
        <w:t>IsoxI</w:t>
      </w:r>
      <w:r w:rsidR="00D0647D">
        <w:rPr>
          <w:rFonts w:ascii="Arial" w:hAnsi="Arial" w:cs="Arial"/>
          <w:noProof/>
          <w:sz w:val="20"/>
          <w:szCs w:val="20"/>
          <w:lang w:eastAsia="en-US"/>
        </w:rPr>
        <w:t>,</w:t>
      </w:r>
      <w:r w:rsidR="00186AB8">
        <w:rPr>
          <w:rFonts w:ascii="Arial" w:hAnsi="Arial" w:cs="Arial"/>
          <w:noProof/>
          <w:sz w:val="20"/>
          <w:szCs w:val="20"/>
          <w:lang w:eastAsia="en-US"/>
        </w:rPr>
        <w:t xml:space="preserve"> fig. </w:t>
      </w:r>
      <w:r w:rsidR="00186AB8" w:rsidRPr="00186AB8">
        <w:rPr>
          <w:rFonts w:ascii="Arial" w:hAnsi="Arial" w:cs="Arial"/>
          <w:b/>
          <w:noProof/>
          <w:sz w:val="20"/>
          <w:szCs w:val="20"/>
          <w:lang w:eastAsia="en-US"/>
        </w:rPr>
        <w:t>a</w:t>
      </w:r>
      <w:r w:rsidR="00EB57F4" w:rsidRPr="00EB57F4">
        <w:rPr>
          <w:rFonts w:ascii="Arial" w:hAnsi="Arial" w:cs="Arial"/>
          <w:noProof/>
          <w:sz w:val="20"/>
          <w:szCs w:val="20"/>
          <w:lang w:eastAsia="en-US"/>
        </w:rPr>
        <w:t>).</w:t>
      </w:r>
      <w:r w:rsidR="006C5EC1">
        <w:rPr>
          <w:rFonts w:ascii="Arial" w:hAnsi="Arial" w:cs="Arial"/>
          <w:b/>
          <w:noProof/>
          <w:sz w:val="20"/>
          <w:szCs w:val="20"/>
          <w:lang w:eastAsia="en-US"/>
        </w:rPr>
        <w:t xml:space="preserve"> </w:t>
      </w:r>
      <w:r w:rsidR="00EB57F4" w:rsidRPr="00EB57F4">
        <w:rPr>
          <w:rFonts w:ascii="Arial" w:hAnsi="Arial" w:cs="Arial"/>
          <w:noProof/>
          <w:sz w:val="20"/>
          <w:szCs w:val="20"/>
          <w:lang w:eastAsia="en-US"/>
        </w:rPr>
        <w:t xml:space="preserve">The use of an </w:t>
      </w:r>
      <w:r w:rsidR="00EB57F4" w:rsidRPr="00A91757">
        <w:rPr>
          <w:rFonts w:ascii="Arial" w:hAnsi="Arial" w:cs="Arial"/>
          <w:i/>
          <w:noProof/>
          <w:sz w:val="20"/>
          <w:szCs w:val="20"/>
          <w:lang w:eastAsia="en-US"/>
        </w:rPr>
        <w:t>ultra-high magnetic field</w:t>
      </w:r>
      <w:r w:rsidR="00EB57F4" w:rsidRPr="00EB57F4">
        <w:rPr>
          <w:rFonts w:ascii="Arial" w:hAnsi="Arial" w:cs="Arial"/>
          <w:noProof/>
          <w:sz w:val="20"/>
          <w:szCs w:val="20"/>
          <w:lang w:eastAsia="en-US"/>
        </w:rPr>
        <w:t xml:space="preserve"> </w:t>
      </w:r>
      <w:r w:rsidR="00A91757">
        <w:rPr>
          <w:rFonts w:ascii="Arial" w:hAnsi="Arial" w:cs="Arial"/>
          <w:noProof/>
          <w:sz w:val="20"/>
          <w:szCs w:val="20"/>
          <w:lang w:eastAsia="en-US"/>
        </w:rPr>
        <w:t xml:space="preserve">(UHF) </w:t>
      </w:r>
      <w:r w:rsidR="00EB57F4" w:rsidRPr="00EB57F4">
        <w:rPr>
          <w:rFonts w:ascii="Arial" w:hAnsi="Arial" w:cs="Arial"/>
          <w:noProof/>
          <w:sz w:val="20"/>
          <w:szCs w:val="20"/>
          <w:lang w:eastAsia="en-US"/>
        </w:rPr>
        <w:t xml:space="preserve">allows </w:t>
      </w:r>
      <w:r w:rsidR="00F869E6">
        <w:rPr>
          <w:rFonts w:ascii="Arial" w:hAnsi="Arial" w:cs="Arial"/>
          <w:noProof/>
          <w:sz w:val="20"/>
          <w:szCs w:val="20"/>
          <w:lang w:eastAsia="en-US"/>
        </w:rPr>
        <w:t xml:space="preserve">for </w:t>
      </w:r>
      <w:r w:rsidR="00F869E6" w:rsidRPr="00A91757">
        <w:rPr>
          <w:rFonts w:ascii="Arial" w:hAnsi="Arial" w:cs="Arial"/>
          <w:i/>
          <w:noProof/>
          <w:sz w:val="20"/>
          <w:szCs w:val="20"/>
          <w:lang w:eastAsia="en-US"/>
        </w:rPr>
        <w:t>rapid</w:t>
      </w:r>
      <w:r w:rsidR="00F869E6" w:rsidRPr="00A91757">
        <w:rPr>
          <w:rFonts w:ascii="Arial" w:hAnsi="Arial" w:cs="Arial"/>
          <w:noProof/>
          <w:sz w:val="20"/>
          <w:szCs w:val="20"/>
          <w:lang w:eastAsia="en-US"/>
        </w:rPr>
        <w:t xml:space="preserve"> </w:t>
      </w:r>
      <w:r w:rsidR="00F869E6" w:rsidRPr="00A91757">
        <w:rPr>
          <w:rFonts w:ascii="Arial" w:hAnsi="Arial" w:cs="Arial"/>
          <w:i/>
          <w:noProof/>
          <w:sz w:val="20"/>
          <w:szCs w:val="20"/>
          <w:lang w:eastAsia="en-US"/>
        </w:rPr>
        <w:t>acquisition</w:t>
      </w:r>
      <w:r w:rsidR="00F869E6">
        <w:rPr>
          <w:rFonts w:ascii="Arial" w:hAnsi="Arial" w:cs="Arial"/>
          <w:noProof/>
          <w:sz w:val="20"/>
          <w:szCs w:val="20"/>
          <w:lang w:eastAsia="en-US"/>
        </w:rPr>
        <w:t xml:space="preserve"> of</w:t>
      </w:r>
      <w:r w:rsidR="00EB57F4" w:rsidRPr="00EB57F4">
        <w:rPr>
          <w:rFonts w:ascii="Arial" w:hAnsi="Arial" w:cs="Arial"/>
          <w:noProof/>
          <w:sz w:val="20"/>
          <w:szCs w:val="20"/>
          <w:lang w:eastAsia="en-US"/>
        </w:rPr>
        <w:t xml:space="preserve"> </w:t>
      </w:r>
      <w:r w:rsidR="00EB57F4" w:rsidRPr="003A4097">
        <w:rPr>
          <w:rFonts w:ascii="Arial" w:hAnsi="Arial" w:cs="Arial"/>
          <w:noProof/>
          <w:sz w:val="20"/>
          <w:szCs w:val="20"/>
          <w:vertAlign w:val="superscript"/>
          <w:lang w:eastAsia="en-US"/>
        </w:rPr>
        <w:t>35</w:t>
      </w:r>
      <w:r w:rsidR="00EB57F4" w:rsidRPr="00EB57F4">
        <w:rPr>
          <w:rFonts w:ascii="Arial" w:hAnsi="Arial" w:cs="Arial"/>
          <w:noProof/>
          <w:sz w:val="20"/>
          <w:szCs w:val="20"/>
          <w:lang w:eastAsia="en-US"/>
        </w:rPr>
        <w:t>Cl SSNMR spectra of APIs</w:t>
      </w:r>
      <w:r w:rsidR="004C43B8">
        <w:rPr>
          <w:rFonts w:ascii="Arial" w:hAnsi="Arial" w:cs="Arial"/>
          <w:noProof/>
          <w:sz w:val="20"/>
          <w:szCs w:val="20"/>
          <w:lang w:eastAsia="en-US"/>
        </w:rPr>
        <w:t xml:space="preserve"> in any form</w:t>
      </w:r>
      <w:r w:rsidR="0013413A">
        <w:rPr>
          <w:rFonts w:ascii="Arial" w:hAnsi="Arial" w:cs="Arial"/>
          <w:noProof/>
          <w:sz w:val="20"/>
          <w:szCs w:val="20"/>
          <w:lang w:eastAsia="en-US"/>
        </w:rPr>
        <w:t xml:space="preserve"> </w:t>
      </w:r>
      <w:r w:rsidR="00AA57A5">
        <w:rPr>
          <w:rFonts w:ascii="Arial" w:hAnsi="Arial" w:cs="Arial"/>
          <w:noProof/>
          <w:sz w:val="20"/>
          <w:szCs w:val="20"/>
          <w:lang w:eastAsia="en-US"/>
        </w:rPr>
        <w:t xml:space="preserve">– this is very helpful for dosage forms, where the </w:t>
      </w:r>
      <w:r w:rsidR="0015190C">
        <w:rPr>
          <w:rFonts w:ascii="Arial" w:hAnsi="Arial" w:cs="Arial"/>
          <w:noProof/>
          <w:sz w:val="20"/>
          <w:szCs w:val="20"/>
          <w:lang w:eastAsia="en-US"/>
        </w:rPr>
        <w:t>wt%</w:t>
      </w:r>
      <w:r w:rsidR="00EB57F4" w:rsidRPr="00EB57F4">
        <w:rPr>
          <w:rFonts w:ascii="Arial" w:hAnsi="Arial" w:cs="Arial"/>
          <w:noProof/>
          <w:sz w:val="20"/>
          <w:szCs w:val="20"/>
          <w:lang w:eastAsia="en-US"/>
        </w:rPr>
        <w:t xml:space="preserve"> of API is often </w:t>
      </w:r>
      <w:r w:rsidR="0015190C">
        <w:rPr>
          <w:rFonts w:ascii="Arial" w:hAnsi="Arial" w:cs="Arial"/>
          <w:noProof/>
          <w:sz w:val="20"/>
          <w:szCs w:val="20"/>
          <w:lang w:eastAsia="en-US"/>
        </w:rPr>
        <w:t>very low</w:t>
      </w:r>
      <w:r w:rsidR="00EB57F4" w:rsidRPr="00EB57F4">
        <w:rPr>
          <w:rFonts w:ascii="Arial" w:hAnsi="Arial" w:cs="Arial"/>
          <w:noProof/>
          <w:sz w:val="20"/>
          <w:szCs w:val="20"/>
          <w:lang w:eastAsia="en-US"/>
        </w:rPr>
        <w:t>.</w:t>
      </w:r>
      <w:r w:rsidR="006C5EC1">
        <w:rPr>
          <w:rFonts w:ascii="Arial" w:hAnsi="Arial" w:cs="Arial"/>
          <w:noProof/>
          <w:sz w:val="20"/>
          <w:szCs w:val="20"/>
          <w:lang w:eastAsia="en-US"/>
        </w:rPr>
        <w:t xml:space="preserve"> </w:t>
      </w:r>
      <w:r w:rsidR="00EB57F4" w:rsidRPr="00EB57F4">
        <w:rPr>
          <w:rFonts w:ascii="Arial" w:hAnsi="Arial" w:cs="Arial"/>
          <w:noProof/>
          <w:sz w:val="20"/>
          <w:szCs w:val="20"/>
          <w:lang w:eastAsia="en-US"/>
        </w:rPr>
        <w:t>Our lower detection limit is currently less than 0.5%</w:t>
      </w:r>
      <w:r w:rsidR="003A4097">
        <w:rPr>
          <w:rFonts w:ascii="Arial" w:hAnsi="Arial" w:cs="Arial"/>
          <w:noProof/>
          <w:sz w:val="20"/>
          <w:szCs w:val="20"/>
          <w:lang w:eastAsia="en-US"/>
        </w:rPr>
        <w:t>.</w:t>
      </w:r>
      <w:r w:rsidR="006C5EC1">
        <w:rPr>
          <w:rFonts w:ascii="Arial" w:hAnsi="Arial" w:cs="Arial"/>
          <w:noProof/>
          <w:sz w:val="20"/>
          <w:szCs w:val="20"/>
          <w:lang w:eastAsia="en-US"/>
        </w:rPr>
        <w:t xml:space="preserve"> </w:t>
      </w:r>
      <w:r w:rsidR="00056034">
        <w:rPr>
          <w:rFonts w:ascii="Arial" w:hAnsi="Arial" w:cs="Arial"/>
          <w:noProof/>
          <w:sz w:val="20"/>
          <w:szCs w:val="20"/>
          <w:lang w:eastAsia="en-US"/>
        </w:rPr>
        <w:t xml:space="preserve">We believe that </w:t>
      </w:r>
      <w:r w:rsidR="008401CF">
        <w:rPr>
          <w:rFonts w:ascii="Arial" w:hAnsi="Arial" w:cs="Arial"/>
          <w:noProof/>
          <w:sz w:val="20"/>
          <w:szCs w:val="20"/>
          <w:lang w:eastAsia="en-US"/>
        </w:rPr>
        <w:t>UHF</w:t>
      </w:r>
      <w:r w:rsidR="00BE061F">
        <w:rPr>
          <w:rFonts w:ascii="Arial" w:hAnsi="Arial" w:cs="Arial"/>
          <w:noProof/>
          <w:sz w:val="20"/>
          <w:szCs w:val="20"/>
          <w:lang w:eastAsia="en-US"/>
        </w:rPr>
        <w:t xml:space="preserve"> </w:t>
      </w:r>
      <w:r w:rsidR="00056034">
        <w:rPr>
          <w:rFonts w:ascii="Arial" w:hAnsi="Arial" w:cs="Arial"/>
          <w:noProof/>
          <w:sz w:val="20"/>
          <w:szCs w:val="20"/>
          <w:lang w:eastAsia="en-US"/>
        </w:rPr>
        <w:t>NMR, along with pulse sequences designed in our laboratory, will</w:t>
      </w:r>
      <w:r w:rsidR="00A91757">
        <w:rPr>
          <w:rFonts w:ascii="Arial" w:hAnsi="Arial" w:cs="Arial"/>
          <w:noProof/>
          <w:sz w:val="20"/>
          <w:szCs w:val="20"/>
          <w:lang w:eastAsia="en-US"/>
        </w:rPr>
        <w:t xml:space="preserve"> be of great use in many future</w:t>
      </w:r>
      <w:r w:rsidR="00056034">
        <w:rPr>
          <w:rFonts w:ascii="Arial" w:hAnsi="Arial" w:cs="Arial"/>
          <w:noProof/>
          <w:sz w:val="20"/>
          <w:szCs w:val="20"/>
          <w:lang w:eastAsia="en-US"/>
        </w:rPr>
        <w:t xml:space="preserve"> studies o</w:t>
      </w:r>
      <w:r w:rsidR="00A91757">
        <w:rPr>
          <w:rFonts w:ascii="Arial" w:hAnsi="Arial" w:cs="Arial"/>
          <w:noProof/>
          <w:sz w:val="20"/>
          <w:szCs w:val="20"/>
          <w:lang w:eastAsia="en-US"/>
        </w:rPr>
        <w:t>f</w:t>
      </w:r>
      <w:r w:rsidR="00056034">
        <w:rPr>
          <w:rFonts w:ascii="Arial" w:hAnsi="Arial" w:cs="Arial"/>
          <w:noProof/>
          <w:sz w:val="20"/>
          <w:szCs w:val="20"/>
          <w:lang w:eastAsia="en-US"/>
        </w:rPr>
        <w:t xml:space="preserve"> APIs, polymorphs, impurities, drug discovery and improving formulation processes.</w:t>
      </w:r>
    </w:p>
    <w:p w14:paraId="39537F6D" w14:textId="4EBA8860" w:rsidR="00A91757" w:rsidRDefault="00EB57F4" w:rsidP="001E01DF">
      <w:pPr>
        <w:tabs>
          <w:tab w:val="left" w:pos="360"/>
        </w:tabs>
        <w:spacing w:before="120"/>
        <w:rPr>
          <w:rFonts w:ascii="Arial" w:hAnsi="Arial" w:cs="Arial"/>
          <w:b/>
          <w:noProof/>
          <w:sz w:val="20"/>
          <w:szCs w:val="20"/>
          <w:lang w:eastAsia="en-US"/>
        </w:rPr>
      </w:pPr>
      <w:r w:rsidRPr="00EB57F4">
        <w:rPr>
          <w:rFonts w:ascii="Arial" w:hAnsi="Arial" w:cs="Arial"/>
          <w:b/>
          <w:noProof/>
          <w:sz w:val="20"/>
          <w:szCs w:val="20"/>
          <w:lang w:eastAsia="en-US"/>
        </w:rPr>
        <w:t>Acknowledgements</w:t>
      </w:r>
    </w:p>
    <w:p w14:paraId="2AF0DDA3" w14:textId="7E86E263" w:rsidR="001E01DF" w:rsidRDefault="001E01DF" w:rsidP="001E01DF">
      <w:pPr>
        <w:tabs>
          <w:tab w:val="left" w:pos="360"/>
        </w:tabs>
        <w:rPr>
          <w:rFonts w:ascii="Arial" w:eastAsia="Times New Roman" w:hAnsi="Arial" w:cs="Arial"/>
          <w:sz w:val="20"/>
          <w:szCs w:val="20"/>
          <w:lang w:eastAsia="en-US"/>
        </w:rPr>
      </w:pPr>
      <w:r>
        <w:rPr>
          <w:rFonts w:ascii="Arial" w:hAnsi="Arial" w:cs="Arial"/>
          <w:noProof/>
          <w:sz w:val="20"/>
          <w:szCs w:val="20"/>
          <w:lang w:eastAsia="en-US"/>
        </w:rPr>
        <w:tab/>
      </w:r>
      <w:r w:rsidR="00EB57F4" w:rsidRPr="00EB57F4">
        <w:rPr>
          <w:rFonts w:ascii="Arial" w:hAnsi="Arial" w:cs="Arial"/>
          <w:noProof/>
          <w:sz w:val="20"/>
          <w:szCs w:val="20"/>
          <w:lang w:eastAsia="en-US"/>
        </w:rPr>
        <w:t>This research is funded, in part, by the Natural Sciences and Engineering Research Council (NSERC, Canada), the Canadian Foundation for Innovation (CFI), the Ontario Innovation Trust (OIT) and the University of Windsor.</w:t>
      </w:r>
      <w:r w:rsidR="006C5EC1">
        <w:rPr>
          <w:rFonts w:ascii="Arial" w:hAnsi="Arial" w:cs="Arial"/>
          <w:noProof/>
          <w:sz w:val="20"/>
          <w:szCs w:val="20"/>
          <w:lang w:eastAsia="en-US"/>
        </w:rPr>
        <w:t xml:space="preserve"> </w:t>
      </w:r>
      <w:r w:rsidR="00EB57F4" w:rsidRPr="00EB57F4">
        <w:rPr>
          <w:rFonts w:ascii="Arial" w:hAnsi="Arial" w:cs="Arial"/>
          <w:noProof/>
          <w:sz w:val="20"/>
          <w:szCs w:val="20"/>
          <w:lang w:eastAsia="en-US"/>
        </w:rPr>
        <w:t>RWS also thanks the Ontario Ministry of Research and Innovation for an Early Researcher Award</w:t>
      </w:r>
      <w:r w:rsidR="002C5EDB">
        <w:rPr>
          <w:rFonts w:ascii="Arial" w:hAnsi="Arial" w:cs="Arial"/>
          <w:noProof/>
          <w:sz w:val="20"/>
          <w:szCs w:val="20"/>
          <w:lang w:eastAsia="en-US"/>
        </w:rPr>
        <w:t>, and the University of Windsor for a 50</w:t>
      </w:r>
      <w:r w:rsidR="002C5EDB" w:rsidRPr="002C5EDB">
        <w:rPr>
          <w:rFonts w:ascii="Arial" w:hAnsi="Arial" w:cs="Arial"/>
          <w:noProof/>
          <w:sz w:val="20"/>
          <w:szCs w:val="20"/>
          <w:vertAlign w:val="superscript"/>
          <w:lang w:eastAsia="en-US"/>
        </w:rPr>
        <w:t>th</w:t>
      </w:r>
      <w:r w:rsidR="002C5EDB">
        <w:rPr>
          <w:rFonts w:ascii="Arial" w:hAnsi="Arial" w:cs="Arial"/>
          <w:noProof/>
          <w:sz w:val="20"/>
          <w:szCs w:val="20"/>
          <w:lang w:eastAsia="en-US"/>
        </w:rPr>
        <w:t xml:space="preserve"> Anniversity Jubilee Research Award.</w:t>
      </w:r>
      <w:r>
        <w:rPr>
          <w:rFonts w:ascii="Arial" w:hAnsi="Arial" w:cs="Arial"/>
          <w:noProof/>
          <w:sz w:val="20"/>
          <w:szCs w:val="20"/>
          <w:lang w:eastAsia="en-US"/>
        </w:rPr>
        <w:t xml:space="preserve">  </w:t>
      </w:r>
      <w:r w:rsidRPr="00334CEB">
        <w:rPr>
          <w:rFonts w:ascii="Arial" w:eastAsia="Times New Roman" w:hAnsi="Arial" w:cs="Arial"/>
          <w:sz w:val="20"/>
          <w:szCs w:val="20"/>
          <w:lang w:eastAsia="en-US"/>
        </w:rPr>
        <w:t>A portion of this work was performed at the NHM</w:t>
      </w:r>
      <w:r>
        <w:rPr>
          <w:rFonts w:ascii="Arial" w:eastAsia="Times New Roman" w:hAnsi="Arial" w:cs="Arial"/>
          <w:sz w:val="20"/>
          <w:szCs w:val="20"/>
          <w:lang w:eastAsia="en-US"/>
        </w:rPr>
        <w:t>F</w:t>
      </w:r>
      <w:r w:rsidRPr="00334CEB">
        <w:rPr>
          <w:rFonts w:ascii="Arial" w:eastAsia="Times New Roman" w:hAnsi="Arial" w:cs="Arial"/>
          <w:sz w:val="20"/>
          <w:szCs w:val="20"/>
          <w:lang w:eastAsia="en-US"/>
        </w:rPr>
        <w:t>L, which is supported by NSF</w:t>
      </w:r>
      <w:r>
        <w:rPr>
          <w:rFonts w:ascii="Arial" w:eastAsia="Times New Roman" w:hAnsi="Arial" w:cs="Arial"/>
          <w:sz w:val="20"/>
          <w:szCs w:val="20"/>
          <w:lang w:eastAsia="en-US"/>
        </w:rPr>
        <w:t xml:space="preserve"> DMR-1157490 and </w:t>
      </w:r>
      <w:r w:rsidRPr="00334CEB">
        <w:rPr>
          <w:rFonts w:ascii="Arial" w:eastAsia="Times New Roman" w:hAnsi="Arial" w:cs="Arial"/>
          <w:sz w:val="20"/>
          <w:szCs w:val="20"/>
          <w:lang w:eastAsia="en-US"/>
        </w:rPr>
        <w:t>the Stat</w:t>
      </w:r>
      <w:r>
        <w:rPr>
          <w:rFonts w:ascii="Arial" w:eastAsia="Times New Roman" w:hAnsi="Arial" w:cs="Arial"/>
          <w:sz w:val="20"/>
          <w:szCs w:val="20"/>
          <w:lang w:eastAsia="en-US"/>
        </w:rPr>
        <w:t xml:space="preserve">e of Florida.  </w:t>
      </w:r>
    </w:p>
    <w:p w14:paraId="32F35588" w14:textId="77777777" w:rsidR="00EB57F4" w:rsidRPr="00EB57F4" w:rsidRDefault="00EB57F4" w:rsidP="001E01DF">
      <w:pPr>
        <w:tabs>
          <w:tab w:val="left" w:pos="360"/>
        </w:tabs>
        <w:spacing w:before="120"/>
        <w:rPr>
          <w:rFonts w:ascii="Arial" w:hAnsi="Arial" w:cs="Arial"/>
          <w:b/>
          <w:noProof/>
          <w:sz w:val="20"/>
          <w:szCs w:val="20"/>
          <w:lang w:eastAsia="en-US"/>
        </w:rPr>
      </w:pPr>
      <w:r w:rsidRPr="00EB57F4">
        <w:rPr>
          <w:rFonts w:ascii="Arial" w:hAnsi="Arial" w:cs="Arial"/>
          <w:b/>
          <w:noProof/>
          <w:sz w:val="20"/>
          <w:szCs w:val="20"/>
          <w:lang w:eastAsia="en-US"/>
        </w:rPr>
        <w:t>References</w:t>
      </w:r>
    </w:p>
    <w:p w14:paraId="3C25095D" w14:textId="0830B576" w:rsidR="00EB57F4" w:rsidRPr="00EB57F4" w:rsidRDefault="00EB57F4" w:rsidP="00DB4322">
      <w:pPr>
        <w:tabs>
          <w:tab w:val="left" w:pos="360"/>
        </w:tabs>
        <w:rPr>
          <w:rFonts w:ascii="Arial" w:hAnsi="Arial" w:cs="Arial"/>
          <w:noProof/>
          <w:sz w:val="20"/>
          <w:szCs w:val="20"/>
          <w:lang w:eastAsia="en-US"/>
        </w:rPr>
      </w:pPr>
      <w:r w:rsidRPr="00EB57F4">
        <w:rPr>
          <w:rFonts w:ascii="Arial" w:hAnsi="Arial" w:cs="Arial"/>
          <w:noProof/>
          <w:sz w:val="20"/>
          <w:szCs w:val="20"/>
          <w:lang w:eastAsia="en-US"/>
        </w:rPr>
        <w:t xml:space="preserve">[1] Brittain, H.G., </w:t>
      </w:r>
      <w:r w:rsidRPr="001E01DF">
        <w:rPr>
          <w:rFonts w:ascii="Arial" w:hAnsi="Arial" w:cs="Arial"/>
          <w:i/>
          <w:noProof/>
          <w:sz w:val="20"/>
          <w:szCs w:val="20"/>
          <w:lang w:eastAsia="en-US"/>
        </w:rPr>
        <w:t>et al.</w:t>
      </w:r>
      <w:r w:rsidRPr="00EB57F4">
        <w:rPr>
          <w:rFonts w:ascii="Arial" w:hAnsi="Arial" w:cs="Arial"/>
          <w:noProof/>
          <w:sz w:val="20"/>
          <w:szCs w:val="20"/>
          <w:lang w:eastAsia="en-US"/>
        </w:rPr>
        <w:t xml:space="preserve">, Polymorphism in Pharmaceutical Solids; Marcel Dekker: New York, </w:t>
      </w:r>
      <w:r w:rsidRPr="003A4097">
        <w:rPr>
          <w:rFonts w:ascii="Arial" w:hAnsi="Arial" w:cs="Arial"/>
          <w:b/>
          <w:noProof/>
          <w:sz w:val="20"/>
          <w:szCs w:val="20"/>
          <w:lang w:eastAsia="en-US"/>
        </w:rPr>
        <w:t>95</w:t>
      </w:r>
      <w:r w:rsidRPr="00EB57F4">
        <w:rPr>
          <w:rFonts w:ascii="Arial" w:hAnsi="Arial" w:cs="Arial"/>
          <w:noProof/>
          <w:sz w:val="20"/>
          <w:szCs w:val="20"/>
          <w:lang w:eastAsia="en-US"/>
        </w:rPr>
        <w:t>, 279-330 (1999).</w:t>
      </w:r>
    </w:p>
    <w:p w14:paraId="2A391A8E" w14:textId="77777777" w:rsidR="001E01DF" w:rsidRDefault="00EB57F4" w:rsidP="00DB4322">
      <w:pPr>
        <w:tabs>
          <w:tab w:val="left" w:pos="360"/>
        </w:tabs>
        <w:rPr>
          <w:rFonts w:ascii="Arial" w:hAnsi="Arial" w:cs="Arial"/>
          <w:noProof/>
          <w:sz w:val="20"/>
          <w:szCs w:val="20"/>
          <w:lang w:eastAsia="en-US"/>
        </w:rPr>
      </w:pPr>
      <w:r w:rsidRPr="00EB57F4">
        <w:rPr>
          <w:rFonts w:ascii="Arial" w:hAnsi="Arial" w:cs="Arial"/>
          <w:noProof/>
          <w:sz w:val="20"/>
          <w:szCs w:val="20"/>
          <w:lang w:eastAsia="en-US"/>
        </w:rPr>
        <w:t xml:space="preserve">[2] Harris, R.K., Analyst, </w:t>
      </w:r>
      <w:r w:rsidRPr="003A4097">
        <w:rPr>
          <w:rFonts w:ascii="Arial" w:hAnsi="Arial" w:cs="Arial"/>
          <w:b/>
          <w:noProof/>
          <w:sz w:val="20"/>
          <w:szCs w:val="20"/>
          <w:lang w:eastAsia="en-US"/>
        </w:rPr>
        <w:t>131</w:t>
      </w:r>
      <w:r w:rsidRPr="00EB57F4">
        <w:rPr>
          <w:rFonts w:ascii="Arial" w:hAnsi="Arial" w:cs="Arial"/>
          <w:noProof/>
          <w:sz w:val="20"/>
          <w:szCs w:val="20"/>
          <w:lang w:eastAsia="en-US"/>
        </w:rPr>
        <w:t>,</w:t>
      </w:r>
      <w:r w:rsidR="003A4097">
        <w:rPr>
          <w:rFonts w:ascii="Arial" w:hAnsi="Arial" w:cs="Arial"/>
          <w:noProof/>
          <w:sz w:val="20"/>
          <w:szCs w:val="20"/>
          <w:lang w:eastAsia="en-US"/>
        </w:rPr>
        <w:t xml:space="preserve"> </w:t>
      </w:r>
      <w:r w:rsidR="00B82415">
        <w:rPr>
          <w:rFonts w:ascii="Arial" w:hAnsi="Arial" w:cs="Arial"/>
          <w:noProof/>
          <w:sz w:val="20"/>
          <w:szCs w:val="20"/>
          <w:lang w:eastAsia="en-US"/>
        </w:rPr>
        <w:t>351</w:t>
      </w:r>
      <w:r w:rsidRPr="00EB57F4">
        <w:rPr>
          <w:rFonts w:ascii="Arial" w:hAnsi="Arial" w:cs="Arial"/>
          <w:noProof/>
          <w:sz w:val="20"/>
          <w:szCs w:val="20"/>
          <w:lang w:eastAsia="en-US"/>
        </w:rPr>
        <w:t xml:space="preserve"> (2006). </w:t>
      </w:r>
    </w:p>
    <w:p w14:paraId="37E182C7" w14:textId="77777777" w:rsidR="001E01DF" w:rsidRDefault="00EB57F4" w:rsidP="00DB4322">
      <w:pPr>
        <w:tabs>
          <w:tab w:val="left" w:pos="360"/>
        </w:tabs>
        <w:rPr>
          <w:rFonts w:ascii="Arial" w:hAnsi="Arial" w:cs="Arial"/>
          <w:noProof/>
          <w:sz w:val="20"/>
          <w:szCs w:val="20"/>
          <w:lang w:eastAsia="en-US"/>
        </w:rPr>
      </w:pPr>
      <w:r w:rsidRPr="00EB57F4">
        <w:rPr>
          <w:rFonts w:ascii="Arial" w:hAnsi="Arial" w:cs="Arial"/>
          <w:noProof/>
          <w:sz w:val="20"/>
          <w:szCs w:val="20"/>
          <w:lang w:eastAsia="en-US"/>
        </w:rPr>
        <w:t xml:space="preserve">[3] Hamaed, H., </w:t>
      </w:r>
      <w:r w:rsidRPr="001E01DF">
        <w:rPr>
          <w:rFonts w:ascii="Arial" w:hAnsi="Arial" w:cs="Arial"/>
          <w:i/>
          <w:noProof/>
          <w:sz w:val="20"/>
          <w:szCs w:val="20"/>
          <w:lang w:eastAsia="en-US"/>
        </w:rPr>
        <w:t>et al.</w:t>
      </w:r>
      <w:r w:rsidRPr="00EB57F4">
        <w:rPr>
          <w:rFonts w:ascii="Arial" w:hAnsi="Arial" w:cs="Arial"/>
          <w:noProof/>
          <w:sz w:val="20"/>
          <w:szCs w:val="20"/>
          <w:lang w:eastAsia="en-US"/>
        </w:rPr>
        <w:t xml:space="preserve">, J. Am. Chem. Soc., </w:t>
      </w:r>
      <w:r w:rsidRPr="003A4097">
        <w:rPr>
          <w:rFonts w:ascii="Arial" w:hAnsi="Arial" w:cs="Arial"/>
          <w:b/>
          <w:noProof/>
          <w:sz w:val="20"/>
          <w:szCs w:val="20"/>
          <w:lang w:eastAsia="en-US"/>
        </w:rPr>
        <w:t>130</w:t>
      </w:r>
      <w:r w:rsidR="00B82415">
        <w:rPr>
          <w:rFonts w:ascii="Arial" w:hAnsi="Arial" w:cs="Arial"/>
          <w:noProof/>
          <w:sz w:val="20"/>
          <w:szCs w:val="20"/>
          <w:lang w:eastAsia="en-US"/>
        </w:rPr>
        <w:t>, 11056</w:t>
      </w:r>
      <w:r w:rsidRPr="00EB57F4">
        <w:rPr>
          <w:rFonts w:ascii="Arial" w:hAnsi="Arial" w:cs="Arial"/>
          <w:noProof/>
          <w:sz w:val="20"/>
          <w:szCs w:val="20"/>
          <w:lang w:eastAsia="en-US"/>
        </w:rPr>
        <w:t xml:space="preserve"> (2008).</w:t>
      </w:r>
      <w:r w:rsidR="00B82415">
        <w:rPr>
          <w:rFonts w:ascii="Arial" w:hAnsi="Arial" w:cs="Arial"/>
          <w:noProof/>
          <w:sz w:val="20"/>
          <w:szCs w:val="20"/>
          <w:lang w:eastAsia="en-US"/>
        </w:rPr>
        <w:t xml:space="preserve"> </w:t>
      </w:r>
    </w:p>
    <w:p w14:paraId="27D91268" w14:textId="42335201" w:rsidR="001E01DF" w:rsidRDefault="00B82415" w:rsidP="00DB4322">
      <w:pPr>
        <w:tabs>
          <w:tab w:val="left" w:pos="360"/>
        </w:tabs>
        <w:rPr>
          <w:rFonts w:ascii="Arial" w:hAnsi="Arial" w:cs="Arial"/>
          <w:noProof/>
          <w:sz w:val="20"/>
          <w:szCs w:val="20"/>
          <w:lang w:eastAsia="en-US"/>
        </w:rPr>
      </w:pPr>
      <w:r>
        <w:rPr>
          <w:rFonts w:ascii="Arial" w:hAnsi="Arial" w:cs="Arial"/>
          <w:noProof/>
          <w:sz w:val="20"/>
          <w:szCs w:val="20"/>
          <w:lang w:eastAsia="en-US"/>
        </w:rPr>
        <w:t>[4]</w:t>
      </w:r>
      <w:r w:rsidR="006C5EC1">
        <w:rPr>
          <w:rFonts w:ascii="Arial" w:hAnsi="Arial" w:cs="Arial"/>
          <w:noProof/>
          <w:sz w:val="20"/>
          <w:szCs w:val="20"/>
          <w:lang w:eastAsia="en-US"/>
        </w:rPr>
        <w:t xml:space="preserve"> </w:t>
      </w:r>
      <w:r>
        <w:rPr>
          <w:rFonts w:ascii="Arial" w:hAnsi="Arial" w:cs="Arial"/>
          <w:noProof/>
          <w:sz w:val="20"/>
          <w:szCs w:val="20"/>
          <w:lang w:eastAsia="en-US"/>
        </w:rPr>
        <w:t>Hildebrand, M.P.</w:t>
      </w:r>
      <w:r w:rsidR="001E01DF">
        <w:rPr>
          <w:rFonts w:ascii="Arial" w:hAnsi="Arial" w:cs="Arial"/>
          <w:noProof/>
          <w:sz w:val="20"/>
          <w:szCs w:val="20"/>
          <w:lang w:eastAsia="en-US"/>
        </w:rPr>
        <w:t xml:space="preserve">, </w:t>
      </w:r>
      <w:r w:rsidRPr="001E01DF">
        <w:rPr>
          <w:rFonts w:ascii="Arial" w:hAnsi="Arial" w:cs="Arial"/>
          <w:i/>
          <w:noProof/>
          <w:sz w:val="20"/>
          <w:szCs w:val="20"/>
          <w:lang w:eastAsia="en-US"/>
        </w:rPr>
        <w:t>et al.</w:t>
      </w:r>
      <w:r>
        <w:rPr>
          <w:rFonts w:ascii="Arial" w:hAnsi="Arial" w:cs="Arial"/>
          <w:noProof/>
          <w:sz w:val="20"/>
          <w:szCs w:val="20"/>
          <w:lang w:eastAsia="en-US"/>
        </w:rPr>
        <w:t xml:space="preserve">, </w:t>
      </w:r>
      <w:r w:rsidRPr="00B325ED">
        <w:rPr>
          <w:rFonts w:ascii="Arial" w:hAnsi="Arial" w:cs="Arial"/>
          <w:noProof/>
          <w:sz w:val="20"/>
          <w:szCs w:val="20"/>
          <w:lang w:eastAsia="en-US"/>
        </w:rPr>
        <w:t>CrystEngComm</w:t>
      </w:r>
      <w:r w:rsidRPr="00B82415">
        <w:rPr>
          <w:rFonts w:ascii="Arial" w:hAnsi="Arial" w:cs="Arial"/>
          <w:noProof/>
          <w:sz w:val="20"/>
          <w:szCs w:val="20"/>
          <w:lang w:eastAsia="en-US"/>
        </w:rPr>
        <w:t>,</w:t>
      </w:r>
      <w:r>
        <w:rPr>
          <w:rFonts w:ascii="Arial" w:hAnsi="Arial" w:cs="Arial"/>
          <w:noProof/>
          <w:sz w:val="20"/>
          <w:szCs w:val="20"/>
          <w:lang w:eastAsia="en-US"/>
        </w:rPr>
        <w:t xml:space="preserve"> </w:t>
      </w:r>
      <w:r w:rsidRPr="00B82415">
        <w:rPr>
          <w:rFonts w:ascii="Arial" w:hAnsi="Arial" w:cs="Arial"/>
          <w:b/>
          <w:noProof/>
          <w:sz w:val="20"/>
          <w:szCs w:val="20"/>
          <w:lang w:eastAsia="en-US"/>
        </w:rPr>
        <w:t>16</w:t>
      </w:r>
      <w:r>
        <w:rPr>
          <w:rFonts w:ascii="Arial" w:hAnsi="Arial" w:cs="Arial"/>
          <w:noProof/>
          <w:sz w:val="20"/>
          <w:szCs w:val="20"/>
          <w:lang w:eastAsia="en-US"/>
        </w:rPr>
        <w:t xml:space="preserve">, </w:t>
      </w:r>
      <w:r w:rsidRPr="00B82415">
        <w:rPr>
          <w:rFonts w:ascii="Arial" w:hAnsi="Arial" w:cs="Arial"/>
          <w:noProof/>
          <w:sz w:val="20"/>
          <w:szCs w:val="20"/>
          <w:lang w:eastAsia="en-US"/>
        </w:rPr>
        <w:t>7334</w:t>
      </w:r>
      <w:r>
        <w:rPr>
          <w:rFonts w:ascii="Arial" w:hAnsi="Arial" w:cs="Arial"/>
          <w:noProof/>
          <w:sz w:val="20"/>
          <w:szCs w:val="20"/>
          <w:lang w:eastAsia="en-US"/>
        </w:rPr>
        <w:t xml:space="preserve"> (2014).</w:t>
      </w:r>
      <w:r w:rsidR="00685D81">
        <w:rPr>
          <w:rFonts w:ascii="Arial" w:hAnsi="Arial" w:cs="Arial"/>
          <w:noProof/>
          <w:sz w:val="20"/>
          <w:szCs w:val="20"/>
          <w:lang w:eastAsia="en-US"/>
        </w:rPr>
        <w:t xml:space="preserve"> </w:t>
      </w:r>
    </w:p>
    <w:p w14:paraId="261C60E7" w14:textId="77777777" w:rsidR="001E01DF" w:rsidRDefault="00685D81" w:rsidP="00DB4322">
      <w:pPr>
        <w:tabs>
          <w:tab w:val="left" w:pos="360"/>
        </w:tabs>
        <w:rPr>
          <w:rFonts w:ascii="Arial" w:hAnsi="Arial" w:cs="Arial"/>
          <w:noProof/>
          <w:sz w:val="20"/>
          <w:szCs w:val="20"/>
          <w:lang w:eastAsia="en-US"/>
        </w:rPr>
      </w:pPr>
      <w:r>
        <w:rPr>
          <w:rFonts w:ascii="Arial" w:hAnsi="Arial" w:cs="Arial"/>
          <w:noProof/>
          <w:sz w:val="20"/>
          <w:szCs w:val="20"/>
          <w:lang w:eastAsia="en-US"/>
        </w:rPr>
        <w:t>[5</w:t>
      </w:r>
      <w:r w:rsidRPr="00EB57F4">
        <w:rPr>
          <w:rFonts w:ascii="Arial" w:hAnsi="Arial" w:cs="Arial"/>
          <w:noProof/>
          <w:sz w:val="20"/>
          <w:szCs w:val="20"/>
          <w:lang w:eastAsia="en-US"/>
        </w:rPr>
        <w:t xml:space="preserve">] </w:t>
      </w:r>
      <w:r>
        <w:rPr>
          <w:rFonts w:ascii="Arial" w:hAnsi="Arial" w:cs="Arial"/>
          <w:noProof/>
          <w:sz w:val="20"/>
          <w:szCs w:val="20"/>
          <w:lang w:eastAsia="en-US"/>
        </w:rPr>
        <w:t>Larsen</w:t>
      </w:r>
      <w:r w:rsidRPr="00EB57F4">
        <w:rPr>
          <w:rFonts w:ascii="Arial" w:hAnsi="Arial" w:cs="Arial"/>
          <w:noProof/>
          <w:sz w:val="20"/>
          <w:szCs w:val="20"/>
          <w:lang w:eastAsia="en-US"/>
        </w:rPr>
        <w:t xml:space="preserve">, </w:t>
      </w:r>
      <w:r>
        <w:rPr>
          <w:rFonts w:ascii="Arial" w:hAnsi="Arial" w:cs="Arial"/>
          <w:noProof/>
          <w:sz w:val="20"/>
          <w:szCs w:val="20"/>
          <w:lang w:eastAsia="en-US"/>
        </w:rPr>
        <w:t>F.H.</w:t>
      </w:r>
      <w:r w:rsidRPr="00EB57F4">
        <w:rPr>
          <w:rFonts w:ascii="Arial" w:hAnsi="Arial" w:cs="Arial"/>
          <w:noProof/>
          <w:sz w:val="20"/>
          <w:szCs w:val="20"/>
          <w:lang w:eastAsia="en-US"/>
        </w:rPr>
        <w:t xml:space="preserve">, </w:t>
      </w:r>
      <w:r w:rsidRPr="001E01DF">
        <w:rPr>
          <w:rFonts w:ascii="Arial" w:hAnsi="Arial" w:cs="Arial"/>
          <w:i/>
          <w:noProof/>
          <w:sz w:val="20"/>
          <w:szCs w:val="20"/>
          <w:lang w:eastAsia="en-US"/>
        </w:rPr>
        <w:t>et al.</w:t>
      </w:r>
      <w:r w:rsidRPr="00EB57F4">
        <w:rPr>
          <w:rFonts w:ascii="Arial" w:hAnsi="Arial" w:cs="Arial"/>
          <w:noProof/>
          <w:sz w:val="20"/>
          <w:szCs w:val="20"/>
          <w:lang w:eastAsia="en-US"/>
        </w:rPr>
        <w:t xml:space="preserve">, J. </w:t>
      </w:r>
      <w:r>
        <w:rPr>
          <w:rFonts w:ascii="Arial" w:hAnsi="Arial" w:cs="Arial"/>
          <w:noProof/>
          <w:sz w:val="20"/>
          <w:szCs w:val="20"/>
          <w:lang w:eastAsia="en-US"/>
        </w:rPr>
        <w:t>Phys. Chem</w:t>
      </w:r>
      <w:r w:rsidRPr="00EB57F4">
        <w:rPr>
          <w:rFonts w:ascii="Arial" w:hAnsi="Arial" w:cs="Arial"/>
          <w:noProof/>
          <w:sz w:val="20"/>
          <w:szCs w:val="20"/>
          <w:lang w:eastAsia="en-US"/>
        </w:rPr>
        <w:t>.</w:t>
      </w:r>
      <w:r>
        <w:rPr>
          <w:rFonts w:ascii="Arial" w:hAnsi="Arial" w:cs="Arial"/>
          <w:noProof/>
          <w:sz w:val="20"/>
          <w:szCs w:val="20"/>
          <w:lang w:eastAsia="en-US"/>
        </w:rPr>
        <w:t xml:space="preserve"> A</w:t>
      </w:r>
      <w:r w:rsidRPr="00EB57F4">
        <w:rPr>
          <w:rFonts w:ascii="Arial" w:hAnsi="Arial" w:cs="Arial"/>
          <w:noProof/>
          <w:sz w:val="20"/>
          <w:szCs w:val="20"/>
          <w:lang w:eastAsia="en-US"/>
        </w:rPr>
        <w:t xml:space="preserve">, </w:t>
      </w:r>
      <w:r>
        <w:rPr>
          <w:rFonts w:ascii="Arial" w:hAnsi="Arial" w:cs="Arial"/>
          <w:b/>
          <w:noProof/>
          <w:sz w:val="20"/>
          <w:szCs w:val="20"/>
          <w:lang w:eastAsia="en-US"/>
        </w:rPr>
        <w:t>101</w:t>
      </w:r>
      <w:r w:rsidRPr="00EB57F4">
        <w:rPr>
          <w:rFonts w:ascii="Arial" w:hAnsi="Arial" w:cs="Arial"/>
          <w:noProof/>
          <w:sz w:val="20"/>
          <w:szCs w:val="20"/>
          <w:lang w:eastAsia="en-US"/>
        </w:rPr>
        <w:t xml:space="preserve">, </w:t>
      </w:r>
      <w:r>
        <w:rPr>
          <w:rFonts w:ascii="Arial" w:hAnsi="Arial" w:cs="Arial"/>
          <w:noProof/>
          <w:sz w:val="20"/>
          <w:szCs w:val="20"/>
          <w:lang w:eastAsia="en-US"/>
        </w:rPr>
        <w:t>8597-8606</w:t>
      </w:r>
      <w:r w:rsidRPr="00EB57F4">
        <w:rPr>
          <w:rFonts w:ascii="Arial" w:hAnsi="Arial" w:cs="Arial"/>
          <w:noProof/>
          <w:sz w:val="20"/>
          <w:szCs w:val="20"/>
          <w:lang w:eastAsia="en-US"/>
        </w:rPr>
        <w:t xml:space="preserve"> (</w:t>
      </w:r>
      <w:r>
        <w:rPr>
          <w:rFonts w:ascii="Arial" w:hAnsi="Arial" w:cs="Arial"/>
          <w:noProof/>
          <w:sz w:val="20"/>
          <w:szCs w:val="20"/>
          <w:lang w:eastAsia="en-US"/>
        </w:rPr>
        <w:t>1997</w:t>
      </w:r>
      <w:r w:rsidRPr="00EB57F4">
        <w:rPr>
          <w:rFonts w:ascii="Arial" w:hAnsi="Arial" w:cs="Arial"/>
          <w:noProof/>
          <w:sz w:val="20"/>
          <w:szCs w:val="20"/>
          <w:lang w:eastAsia="en-US"/>
        </w:rPr>
        <w:t>).</w:t>
      </w:r>
      <w:r w:rsidR="00B82415">
        <w:rPr>
          <w:rFonts w:ascii="Arial" w:hAnsi="Arial" w:cs="Arial"/>
          <w:noProof/>
          <w:sz w:val="20"/>
          <w:szCs w:val="20"/>
          <w:lang w:eastAsia="en-US"/>
        </w:rPr>
        <w:t xml:space="preserve"> </w:t>
      </w:r>
    </w:p>
    <w:p w14:paraId="19C8A191" w14:textId="29BE3F2F" w:rsidR="00F908F6" w:rsidRPr="00EB57F4" w:rsidRDefault="00B82415" w:rsidP="00DB4322">
      <w:pPr>
        <w:tabs>
          <w:tab w:val="left" w:pos="360"/>
        </w:tabs>
        <w:rPr>
          <w:rFonts w:ascii="Arial" w:hAnsi="Arial" w:cs="Arial"/>
          <w:noProof/>
          <w:sz w:val="20"/>
          <w:szCs w:val="20"/>
          <w:lang w:eastAsia="en-US"/>
        </w:rPr>
      </w:pPr>
      <w:r>
        <w:rPr>
          <w:rFonts w:ascii="Arial" w:hAnsi="Arial" w:cs="Arial"/>
          <w:noProof/>
          <w:sz w:val="20"/>
          <w:szCs w:val="20"/>
          <w:lang w:eastAsia="en-US"/>
        </w:rPr>
        <w:t>[</w:t>
      </w:r>
      <w:r w:rsidR="00685D81">
        <w:rPr>
          <w:rFonts w:ascii="Arial" w:hAnsi="Arial" w:cs="Arial"/>
          <w:noProof/>
          <w:sz w:val="20"/>
          <w:szCs w:val="20"/>
          <w:lang w:eastAsia="en-US"/>
        </w:rPr>
        <w:t>6</w:t>
      </w:r>
      <w:r w:rsidR="00EB57F4" w:rsidRPr="00EB57F4">
        <w:rPr>
          <w:rFonts w:ascii="Arial" w:hAnsi="Arial" w:cs="Arial"/>
          <w:noProof/>
          <w:sz w:val="20"/>
          <w:szCs w:val="20"/>
          <w:lang w:eastAsia="en-US"/>
        </w:rPr>
        <w:t xml:space="preserve">] Harris, K.J., et al., J. Magn. Reson., </w:t>
      </w:r>
      <w:r w:rsidR="00EB57F4" w:rsidRPr="00C90D44">
        <w:rPr>
          <w:rFonts w:ascii="Arial" w:hAnsi="Arial" w:cs="Arial"/>
          <w:b/>
          <w:noProof/>
          <w:sz w:val="20"/>
          <w:szCs w:val="20"/>
          <w:lang w:eastAsia="en-US"/>
        </w:rPr>
        <w:t>224</w:t>
      </w:r>
      <w:r w:rsidR="00EB57F4" w:rsidRPr="00EB57F4">
        <w:rPr>
          <w:rFonts w:ascii="Arial" w:hAnsi="Arial" w:cs="Arial"/>
          <w:noProof/>
          <w:sz w:val="20"/>
          <w:szCs w:val="20"/>
          <w:lang w:eastAsia="en-US"/>
        </w:rPr>
        <w:t>, 38-47 (2012).</w:t>
      </w:r>
    </w:p>
    <w:sectPr w:rsidR="00F908F6" w:rsidRPr="00EB57F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85FF" w14:textId="77777777" w:rsidR="00A85356" w:rsidRDefault="00A85356">
      <w:r>
        <w:separator/>
      </w:r>
    </w:p>
  </w:endnote>
  <w:endnote w:type="continuationSeparator" w:id="0">
    <w:p w14:paraId="7F80498A" w14:textId="77777777" w:rsidR="00A85356" w:rsidRDefault="00A8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7F37" w14:textId="77777777" w:rsidR="00A85356" w:rsidRDefault="00A85356">
      <w:r>
        <w:separator/>
      </w:r>
    </w:p>
  </w:footnote>
  <w:footnote w:type="continuationSeparator" w:id="0">
    <w:p w14:paraId="639BE4CF" w14:textId="77777777" w:rsidR="00A85356" w:rsidRDefault="00A8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A19D" w14:textId="77777777" w:rsidR="00F51B02" w:rsidRDefault="00F51B02"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C8A1A2" wp14:editId="19C8A1A3">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A1A8" w14:textId="37CF0AF0" w:rsidR="00F51B02" w:rsidRPr="00306550" w:rsidRDefault="00F51B02"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9C8A1A9" w14:textId="38E32AA3" w:rsidR="00F51B02" w:rsidRPr="00306550" w:rsidRDefault="00555D5F" w:rsidP="001E6BF4">
                          <w:pPr>
                            <w:jc w:val="center"/>
                            <w:rPr>
                              <w:rFonts w:ascii="Arial" w:hAnsi="Arial" w:cs="Arial"/>
                              <w:b/>
                              <w:color w:val="17365D"/>
                              <w:sz w:val="22"/>
                              <w:szCs w:val="22"/>
                            </w:rPr>
                          </w:pPr>
                          <w:r>
                            <w:rPr>
                              <w:rFonts w:ascii="Arial" w:hAnsi="Arial" w:cs="Arial"/>
                              <w:b/>
                              <w:color w:val="17365D"/>
                              <w:sz w:val="22"/>
                              <w:szCs w:val="22"/>
                            </w:rPr>
                            <w:t>2015</w:t>
                          </w:r>
                          <w:r w:rsidR="00F51B02"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19C8A1A8" w14:textId="37CF0AF0" w:rsidR="00F51B02" w:rsidRPr="00306550" w:rsidRDefault="00F51B02"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9C8A1A9" w14:textId="38E32AA3" w:rsidR="00F51B02" w:rsidRPr="00306550" w:rsidRDefault="00555D5F" w:rsidP="001E6BF4">
                    <w:pPr>
                      <w:jc w:val="center"/>
                      <w:rPr>
                        <w:rFonts w:ascii="Arial" w:hAnsi="Arial" w:cs="Arial"/>
                        <w:b/>
                        <w:color w:val="17365D"/>
                        <w:sz w:val="22"/>
                        <w:szCs w:val="22"/>
                      </w:rPr>
                    </w:pPr>
                    <w:r>
                      <w:rPr>
                        <w:rFonts w:ascii="Arial" w:hAnsi="Arial" w:cs="Arial"/>
                        <w:b/>
                        <w:color w:val="17365D"/>
                        <w:sz w:val="22"/>
                        <w:szCs w:val="22"/>
                      </w:rPr>
                      <w:t>2015</w:t>
                    </w:r>
                    <w:r w:rsidR="00F51B02" w:rsidRPr="00306550">
                      <w:rPr>
                        <w:rFonts w:ascii="Arial" w:hAnsi="Arial" w:cs="Arial"/>
                        <w:b/>
                        <w:color w:val="17365D"/>
                        <w:sz w:val="22"/>
                        <w:szCs w:val="22"/>
                      </w:rPr>
                      <w:t xml:space="preserve"> ANNUAL RESEARCH REPORT</w:t>
                    </w: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19C8A1A4" wp14:editId="3721EF7B">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11B16"/>
    <w:rsid w:val="0002041D"/>
    <w:rsid w:val="00020C55"/>
    <w:rsid w:val="000252A7"/>
    <w:rsid w:val="00051E9B"/>
    <w:rsid w:val="000558AC"/>
    <w:rsid w:val="00056034"/>
    <w:rsid w:val="000736B9"/>
    <w:rsid w:val="00095579"/>
    <w:rsid w:val="000A1716"/>
    <w:rsid w:val="000A59A8"/>
    <w:rsid w:val="000B294A"/>
    <w:rsid w:val="000B51FC"/>
    <w:rsid w:val="000B55CC"/>
    <w:rsid w:val="000C698F"/>
    <w:rsid w:val="000D1B6E"/>
    <w:rsid w:val="000D1E08"/>
    <w:rsid w:val="000E0937"/>
    <w:rsid w:val="000E1D4F"/>
    <w:rsid w:val="00104A4C"/>
    <w:rsid w:val="00113D92"/>
    <w:rsid w:val="00120180"/>
    <w:rsid w:val="0013413A"/>
    <w:rsid w:val="0014131B"/>
    <w:rsid w:val="00141FE9"/>
    <w:rsid w:val="0015190C"/>
    <w:rsid w:val="00155AD2"/>
    <w:rsid w:val="00163EB4"/>
    <w:rsid w:val="00167606"/>
    <w:rsid w:val="00167800"/>
    <w:rsid w:val="0018419E"/>
    <w:rsid w:val="0018697C"/>
    <w:rsid w:val="00186AB8"/>
    <w:rsid w:val="00187023"/>
    <w:rsid w:val="001E01DF"/>
    <w:rsid w:val="001E526E"/>
    <w:rsid w:val="001E5ECF"/>
    <w:rsid w:val="001E6BF4"/>
    <w:rsid w:val="001E6FE5"/>
    <w:rsid w:val="00213F59"/>
    <w:rsid w:val="00231335"/>
    <w:rsid w:val="00233F11"/>
    <w:rsid w:val="002343A9"/>
    <w:rsid w:val="00241739"/>
    <w:rsid w:val="002426D5"/>
    <w:rsid w:val="00245BD9"/>
    <w:rsid w:val="002524EE"/>
    <w:rsid w:val="00265A15"/>
    <w:rsid w:val="002807CB"/>
    <w:rsid w:val="00290223"/>
    <w:rsid w:val="002971EB"/>
    <w:rsid w:val="002B7E42"/>
    <w:rsid w:val="002C5EDB"/>
    <w:rsid w:val="002C71EE"/>
    <w:rsid w:val="002C7675"/>
    <w:rsid w:val="002E4B2C"/>
    <w:rsid w:val="002E5DF7"/>
    <w:rsid w:val="002F5BFD"/>
    <w:rsid w:val="002F6596"/>
    <w:rsid w:val="00306550"/>
    <w:rsid w:val="00307775"/>
    <w:rsid w:val="00312C04"/>
    <w:rsid w:val="00334CEB"/>
    <w:rsid w:val="003560D2"/>
    <w:rsid w:val="00363C8F"/>
    <w:rsid w:val="00364130"/>
    <w:rsid w:val="00376588"/>
    <w:rsid w:val="00376D2C"/>
    <w:rsid w:val="003812A1"/>
    <w:rsid w:val="00393065"/>
    <w:rsid w:val="00397F4E"/>
    <w:rsid w:val="003A1FF5"/>
    <w:rsid w:val="003A4097"/>
    <w:rsid w:val="003B1B09"/>
    <w:rsid w:val="003C6493"/>
    <w:rsid w:val="003D02F2"/>
    <w:rsid w:val="003E1E6C"/>
    <w:rsid w:val="003E2F8E"/>
    <w:rsid w:val="003F55A7"/>
    <w:rsid w:val="003F6E7E"/>
    <w:rsid w:val="00410D2C"/>
    <w:rsid w:val="00420894"/>
    <w:rsid w:val="00427D00"/>
    <w:rsid w:val="00435037"/>
    <w:rsid w:val="00435F43"/>
    <w:rsid w:val="00450C97"/>
    <w:rsid w:val="0045683C"/>
    <w:rsid w:val="004632CC"/>
    <w:rsid w:val="00470402"/>
    <w:rsid w:val="00486FF9"/>
    <w:rsid w:val="00490682"/>
    <w:rsid w:val="0049187D"/>
    <w:rsid w:val="00491C5D"/>
    <w:rsid w:val="004A227C"/>
    <w:rsid w:val="004A3E99"/>
    <w:rsid w:val="004B4AB5"/>
    <w:rsid w:val="004C43B8"/>
    <w:rsid w:val="004E2DE4"/>
    <w:rsid w:val="004F160B"/>
    <w:rsid w:val="00500D0D"/>
    <w:rsid w:val="00511F7E"/>
    <w:rsid w:val="005173CE"/>
    <w:rsid w:val="0053142A"/>
    <w:rsid w:val="005452B9"/>
    <w:rsid w:val="00555D5F"/>
    <w:rsid w:val="00557865"/>
    <w:rsid w:val="00566064"/>
    <w:rsid w:val="00571D51"/>
    <w:rsid w:val="00571DCD"/>
    <w:rsid w:val="00583BC3"/>
    <w:rsid w:val="00592597"/>
    <w:rsid w:val="005A1B84"/>
    <w:rsid w:val="005A4A0E"/>
    <w:rsid w:val="005C4667"/>
    <w:rsid w:val="005C5648"/>
    <w:rsid w:val="00613DB6"/>
    <w:rsid w:val="00621699"/>
    <w:rsid w:val="00625028"/>
    <w:rsid w:val="00627F7D"/>
    <w:rsid w:val="00635B60"/>
    <w:rsid w:val="00652562"/>
    <w:rsid w:val="006612DC"/>
    <w:rsid w:val="00672D41"/>
    <w:rsid w:val="006854B5"/>
    <w:rsid w:val="00685D81"/>
    <w:rsid w:val="00694E35"/>
    <w:rsid w:val="006B3824"/>
    <w:rsid w:val="006B6446"/>
    <w:rsid w:val="006C5EC1"/>
    <w:rsid w:val="006D030A"/>
    <w:rsid w:val="006D745E"/>
    <w:rsid w:val="006E29BE"/>
    <w:rsid w:val="006E2CE0"/>
    <w:rsid w:val="006E4A9F"/>
    <w:rsid w:val="007207FF"/>
    <w:rsid w:val="00721BED"/>
    <w:rsid w:val="00731C19"/>
    <w:rsid w:val="00734E94"/>
    <w:rsid w:val="007523EF"/>
    <w:rsid w:val="0075571D"/>
    <w:rsid w:val="007649A9"/>
    <w:rsid w:val="00764FB5"/>
    <w:rsid w:val="00767DFA"/>
    <w:rsid w:val="00774A49"/>
    <w:rsid w:val="00776494"/>
    <w:rsid w:val="00780843"/>
    <w:rsid w:val="00795D4C"/>
    <w:rsid w:val="007C0813"/>
    <w:rsid w:val="007C49DA"/>
    <w:rsid w:val="007C7BC1"/>
    <w:rsid w:val="007C7C96"/>
    <w:rsid w:val="007D3105"/>
    <w:rsid w:val="007D6BE6"/>
    <w:rsid w:val="007E2F28"/>
    <w:rsid w:val="008077C2"/>
    <w:rsid w:val="0081287A"/>
    <w:rsid w:val="00817374"/>
    <w:rsid w:val="00830DF6"/>
    <w:rsid w:val="008401CF"/>
    <w:rsid w:val="00862CB5"/>
    <w:rsid w:val="00863EA5"/>
    <w:rsid w:val="00883638"/>
    <w:rsid w:val="008B05B8"/>
    <w:rsid w:val="008C5788"/>
    <w:rsid w:val="008E0D78"/>
    <w:rsid w:val="008E5BC5"/>
    <w:rsid w:val="008E5C85"/>
    <w:rsid w:val="008F35CC"/>
    <w:rsid w:val="009169C0"/>
    <w:rsid w:val="00926984"/>
    <w:rsid w:val="00940B05"/>
    <w:rsid w:val="00942FC9"/>
    <w:rsid w:val="00952671"/>
    <w:rsid w:val="009618D7"/>
    <w:rsid w:val="009648AC"/>
    <w:rsid w:val="00964F12"/>
    <w:rsid w:val="00976705"/>
    <w:rsid w:val="009928C4"/>
    <w:rsid w:val="009A39F6"/>
    <w:rsid w:val="009A3F73"/>
    <w:rsid w:val="009B4187"/>
    <w:rsid w:val="009B41B2"/>
    <w:rsid w:val="009C318D"/>
    <w:rsid w:val="009C3DF0"/>
    <w:rsid w:val="009C7F31"/>
    <w:rsid w:val="009D39A4"/>
    <w:rsid w:val="009E4F1E"/>
    <w:rsid w:val="009F483B"/>
    <w:rsid w:val="00A01944"/>
    <w:rsid w:val="00A11249"/>
    <w:rsid w:val="00A1227A"/>
    <w:rsid w:val="00A35D4A"/>
    <w:rsid w:val="00A55035"/>
    <w:rsid w:val="00A85356"/>
    <w:rsid w:val="00A911D1"/>
    <w:rsid w:val="00A91757"/>
    <w:rsid w:val="00A94FC4"/>
    <w:rsid w:val="00AA128F"/>
    <w:rsid w:val="00AA57A5"/>
    <w:rsid w:val="00AB7BE0"/>
    <w:rsid w:val="00AC297F"/>
    <w:rsid w:val="00AC4AFE"/>
    <w:rsid w:val="00AE142B"/>
    <w:rsid w:val="00AF61AA"/>
    <w:rsid w:val="00AF7588"/>
    <w:rsid w:val="00AF7C14"/>
    <w:rsid w:val="00AF7E3A"/>
    <w:rsid w:val="00B00CDB"/>
    <w:rsid w:val="00B10BDF"/>
    <w:rsid w:val="00B25D4D"/>
    <w:rsid w:val="00B319C0"/>
    <w:rsid w:val="00B325ED"/>
    <w:rsid w:val="00B445EC"/>
    <w:rsid w:val="00B45112"/>
    <w:rsid w:val="00B53243"/>
    <w:rsid w:val="00B54DD5"/>
    <w:rsid w:val="00B5585D"/>
    <w:rsid w:val="00B66577"/>
    <w:rsid w:val="00B71405"/>
    <w:rsid w:val="00B75DC9"/>
    <w:rsid w:val="00B82415"/>
    <w:rsid w:val="00B86FE0"/>
    <w:rsid w:val="00B90507"/>
    <w:rsid w:val="00B92F95"/>
    <w:rsid w:val="00B94321"/>
    <w:rsid w:val="00B95FCB"/>
    <w:rsid w:val="00B96080"/>
    <w:rsid w:val="00BA00BE"/>
    <w:rsid w:val="00BA2DD4"/>
    <w:rsid w:val="00BA7096"/>
    <w:rsid w:val="00BB20B2"/>
    <w:rsid w:val="00BE061F"/>
    <w:rsid w:val="00BE2257"/>
    <w:rsid w:val="00BF77F3"/>
    <w:rsid w:val="00C02989"/>
    <w:rsid w:val="00C076C7"/>
    <w:rsid w:val="00C13313"/>
    <w:rsid w:val="00C260AB"/>
    <w:rsid w:val="00C65438"/>
    <w:rsid w:val="00C75A17"/>
    <w:rsid w:val="00C81666"/>
    <w:rsid w:val="00C83434"/>
    <w:rsid w:val="00C83EAA"/>
    <w:rsid w:val="00C90D44"/>
    <w:rsid w:val="00C93F0D"/>
    <w:rsid w:val="00CA6625"/>
    <w:rsid w:val="00CB0819"/>
    <w:rsid w:val="00CB1A7C"/>
    <w:rsid w:val="00CB4058"/>
    <w:rsid w:val="00CC5B40"/>
    <w:rsid w:val="00CC7E0F"/>
    <w:rsid w:val="00CE3F90"/>
    <w:rsid w:val="00D01F6B"/>
    <w:rsid w:val="00D0313F"/>
    <w:rsid w:val="00D0647D"/>
    <w:rsid w:val="00D07879"/>
    <w:rsid w:val="00D1756D"/>
    <w:rsid w:val="00D306CC"/>
    <w:rsid w:val="00D6437C"/>
    <w:rsid w:val="00D65CBB"/>
    <w:rsid w:val="00D67B56"/>
    <w:rsid w:val="00D851F6"/>
    <w:rsid w:val="00DB4322"/>
    <w:rsid w:val="00DD26D0"/>
    <w:rsid w:val="00DD44E5"/>
    <w:rsid w:val="00DF0C34"/>
    <w:rsid w:val="00DF6AE0"/>
    <w:rsid w:val="00E04B24"/>
    <w:rsid w:val="00E07ED9"/>
    <w:rsid w:val="00E25473"/>
    <w:rsid w:val="00E3360A"/>
    <w:rsid w:val="00E411D1"/>
    <w:rsid w:val="00E43BB4"/>
    <w:rsid w:val="00E570C8"/>
    <w:rsid w:val="00E57E61"/>
    <w:rsid w:val="00E652FE"/>
    <w:rsid w:val="00EA1E33"/>
    <w:rsid w:val="00EB489A"/>
    <w:rsid w:val="00EB515D"/>
    <w:rsid w:val="00EB57F4"/>
    <w:rsid w:val="00EF328F"/>
    <w:rsid w:val="00EF64DD"/>
    <w:rsid w:val="00EF71B0"/>
    <w:rsid w:val="00F23F2F"/>
    <w:rsid w:val="00F31351"/>
    <w:rsid w:val="00F31B06"/>
    <w:rsid w:val="00F4198A"/>
    <w:rsid w:val="00F43581"/>
    <w:rsid w:val="00F4530F"/>
    <w:rsid w:val="00F45B22"/>
    <w:rsid w:val="00F51B02"/>
    <w:rsid w:val="00F54466"/>
    <w:rsid w:val="00F8198A"/>
    <w:rsid w:val="00F869E6"/>
    <w:rsid w:val="00F908F6"/>
    <w:rsid w:val="00F95583"/>
    <w:rsid w:val="00F974C6"/>
    <w:rsid w:val="00FA556B"/>
    <w:rsid w:val="00FB4399"/>
    <w:rsid w:val="00FB71F1"/>
    <w:rsid w:val="00FD0BE0"/>
    <w:rsid w:val="00FE6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9C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B90507"/>
    <w:pPr>
      <w:spacing w:after="200"/>
    </w:pPr>
    <w:rPr>
      <w:b/>
      <w:bCs/>
      <w:color w:val="4F81BD" w:themeColor="accent1"/>
      <w:sz w:val="18"/>
      <w:szCs w:val="18"/>
    </w:rPr>
  </w:style>
  <w:style w:type="character" w:styleId="Hyperlink">
    <w:name w:val="Hyperlink"/>
    <w:basedOn w:val="DefaultParagraphFont"/>
    <w:rsid w:val="00FD0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B90507"/>
    <w:pPr>
      <w:spacing w:after="200"/>
    </w:pPr>
    <w:rPr>
      <w:b/>
      <w:bCs/>
      <w:color w:val="4F81BD" w:themeColor="accent1"/>
      <w:sz w:val="18"/>
      <w:szCs w:val="18"/>
    </w:rPr>
  </w:style>
  <w:style w:type="character" w:styleId="Hyperlink">
    <w:name w:val="Hyperlink"/>
    <w:basedOn w:val="DefaultParagraphFont"/>
    <w:rsid w:val="00FD0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4.xml><?xml version="1.0" encoding="utf-8"?>
<ds:datastoreItem xmlns:ds="http://schemas.openxmlformats.org/officeDocument/2006/customXml" ds:itemID="{529A85A1-F89E-4D1D-9B8D-B0C133E0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0</TotalTime>
  <Pages>1</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2</cp:revision>
  <cp:lastPrinted>2014-12-11T15:34:00Z</cp:lastPrinted>
  <dcterms:created xsi:type="dcterms:W3CDTF">2016-02-11T20:04:00Z</dcterms:created>
  <dcterms:modified xsi:type="dcterms:W3CDTF">2016-02-11T20:04:00Z</dcterms:modified>
</cp:coreProperties>
</file>