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691" w:rsidRPr="00E24691" w:rsidRDefault="00E24691" w:rsidP="004E4A1D">
      <w:pPr>
        <w:tabs>
          <w:tab w:val="left" w:pos="360"/>
        </w:tabs>
        <w:jc w:val="center"/>
        <w:rPr>
          <w:rFonts w:ascii="Arial" w:eastAsia="Times New Roman" w:hAnsi="Arial" w:cs="Arial"/>
          <w:b/>
          <w:lang w:eastAsia="zh-CN"/>
        </w:rPr>
      </w:pPr>
      <w:r w:rsidRPr="00C65580">
        <w:rPr>
          <w:rFonts w:ascii="Arial" w:hAnsi="Arial" w:cs="Arial"/>
          <w:b/>
        </w:rPr>
        <w:t xml:space="preserve">Strong </w:t>
      </w:r>
      <w:r w:rsidR="004E4A1D" w:rsidRPr="00C65580">
        <w:rPr>
          <w:rFonts w:ascii="Arial" w:hAnsi="Arial" w:cs="Arial"/>
          <w:b/>
        </w:rPr>
        <w:t xml:space="preserve">Correlations Generically Protect </w:t>
      </w:r>
      <m:oMath>
        <m:r>
          <m:rPr>
            <m:sty m:val="bi"/>
          </m:rPr>
          <w:rPr>
            <w:rFonts w:ascii="Cambria Math" w:hAnsi="Cambria Math" w:cs="Arial"/>
          </w:rPr>
          <m:t>d</m:t>
        </m:r>
      </m:oMath>
      <w:r w:rsidR="004E4A1D">
        <w:rPr>
          <w:rFonts w:ascii="Arial" w:hAnsi="Arial" w:cs="Arial"/>
          <w:b/>
        </w:rPr>
        <w:t>-Wave Superconductivity a</w:t>
      </w:r>
      <w:r w:rsidR="004E4A1D" w:rsidRPr="00C65580">
        <w:rPr>
          <w:rFonts w:ascii="Arial" w:hAnsi="Arial" w:cs="Arial"/>
          <w:b/>
        </w:rPr>
        <w:t>gainst Disorder</w:t>
      </w:r>
    </w:p>
    <w:p w:rsidR="00E24691" w:rsidRPr="00CF2D2E" w:rsidRDefault="00E24691" w:rsidP="00E24691">
      <w:pPr>
        <w:tabs>
          <w:tab w:val="left" w:pos="360"/>
        </w:tabs>
        <w:jc w:val="both"/>
        <w:rPr>
          <w:rFonts w:ascii="Arial" w:eastAsia="SimSun" w:hAnsi="Arial" w:cs="Arial"/>
          <w:sz w:val="20"/>
          <w:szCs w:val="20"/>
          <w:lang w:eastAsia="zh-CN"/>
        </w:rPr>
      </w:pPr>
      <w:r w:rsidRPr="00CF2D2E">
        <w:rPr>
          <w:rFonts w:ascii="Arial" w:eastAsia="SimSun" w:hAnsi="Arial" w:cs="Arial"/>
          <w:sz w:val="20"/>
          <w:szCs w:val="20"/>
          <w:lang w:eastAsia="zh-CN"/>
        </w:rPr>
        <w:t>Tang</w:t>
      </w:r>
      <w:r w:rsidR="004E4A1D" w:rsidRPr="00CF2D2E">
        <w:rPr>
          <w:rFonts w:ascii="Arial" w:eastAsia="SimSun" w:hAnsi="Arial" w:cs="Arial"/>
          <w:sz w:val="20"/>
          <w:szCs w:val="20"/>
          <w:lang w:eastAsia="zh-CN"/>
        </w:rPr>
        <w:t>, S.</w:t>
      </w:r>
      <w:r w:rsidRPr="00CF2D2E">
        <w:rPr>
          <w:rFonts w:ascii="Arial" w:hAnsi="Arial" w:cs="Arial"/>
          <w:sz w:val="20"/>
          <w:szCs w:val="20"/>
        </w:rPr>
        <w:t xml:space="preserve"> (FSU, Physics); </w:t>
      </w:r>
      <w:bookmarkStart w:id="0" w:name="_GoBack"/>
      <w:r w:rsidRPr="0048542C">
        <w:rPr>
          <w:rFonts w:ascii="Arial" w:hAnsi="Arial" w:cs="Arial"/>
          <w:sz w:val="20"/>
          <w:szCs w:val="20"/>
          <w:u w:val="single"/>
        </w:rPr>
        <w:t>Dobrosavljevic</w:t>
      </w:r>
      <w:r w:rsidR="004E4A1D" w:rsidRPr="0048542C">
        <w:rPr>
          <w:rFonts w:ascii="Arial" w:hAnsi="Arial" w:cs="Arial"/>
          <w:sz w:val="20"/>
          <w:szCs w:val="20"/>
          <w:u w:val="single"/>
        </w:rPr>
        <w:t>, V.</w:t>
      </w:r>
      <w:r w:rsidRPr="00CF2D2E">
        <w:rPr>
          <w:rFonts w:ascii="Arial" w:hAnsi="Arial" w:cs="Arial"/>
          <w:sz w:val="20"/>
          <w:szCs w:val="20"/>
        </w:rPr>
        <w:t xml:space="preserve"> </w:t>
      </w:r>
      <w:bookmarkEnd w:id="0"/>
      <w:r w:rsidRPr="00CF2D2E">
        <w:rPr>
          <w:rFonts w:ascii="Arial" w:hAnsi="Arial" w:cs="Arial"/>
          <w:sz w:val="20"/>
          <w:szCs w:val="20"/>
        </w:rPr>
        <w:t>(Magnet lab</w:t>
      </w:r>
      <w:r w:rsidR="004E4A1D" w:rsidRPr="00CF2D2E">
        <w:rPr>
          <w:rFonts w:ascii="Arial" w:hAnsi="Arial" w:cs="Arial"/>
          <w:sz w:val="20"/>
          <w:szCs w:val="20"/>
        </w:rPr>
        <w:t xml:space="preserve">, </w:t>
      </w:r>
      <w:r w:rsidRPr="00CF2D2E">
        <w:rPr>
          <w:rFonts w:ascii="Arial" w:hAnsi="Arial" w:cs="Arial"/>
          <w:sz w:val="20"/>
          <w:szCs w:val="20"/>
        </w:rPr>
        <w:t>FSU, Physics)</w:t>
      </w:r>
      <w:r w:rsidR="004E4A1D" w:rsidRPr="00CF2D2E">
        <w:rPr>
          <w:rFonts w:ascii="Arial" w:hAnsi="Arial" w:cs="Arial"/>
          <w:sz w:val="20"/>
          <w:szCs w:val="20"/>
        </w:rPr>
        <w:t xml:space="preserve"> and </w:t>
      </w:r>
      <w:r w:rsidRPr="00CF2D2E">
        <w:rPr>
          <w:rFonts w:ascii="Arial" w:hAnsi="Arial" w:cs="Arial"/>
          <w:sz w:val="20"/>
          <w:szCs w:val="20"/>
        </w:rPr>
        <w:t>Miranda</w:t>
      </w:r>
      <w:r w:rsidR="004E4A1D" w:rsidRPr="00CF2D2E">
        <w:rPr>
          <w:rFonts w:ascii="Arial" w:hAnsi="Arial" w:cs="Arial"/>
          <w:sz w:val="20"/>
          <w:szCs w:val="20"/>
        </w:rPr>
        <w:t xml:space="preserve">, E. </w:t>
      </w:r>
      <w:r w:rsidRPr="00CF2D2E">
        <w:rPr>
          <w:rFonts w:ascii="Arial" w:hAnsi="Arial" w:cs="Arial"/>
          <w:sz w:val="20"/>
          <w:szCs w:val="20"/>
        </w:rPr>
        <w:t>(</w:t>
      </w:r>
      <w:proofErr w:type="spellStart"/>
      <w:r w:rsidRPr="00CF2D2E">
        <w:rPr>
          <w:rFonts w:ascii="Arial" w:hAnsi="Arial" w:cs="Arial"/>
          <w:sz w:val="20"/>
          <w:szCs w:val="20"/>
        </w:rPr>
        <w:t>Unicamp</w:t>
      </w:r>
      <w:proofErr w:type="spellEnd"/>
      <w:r w:rsidRPr="00CF2D2E">
        <w:rPr>
          <w:rFonts w:ascii="Arial" w:hAnsi="Arial" w:cs="Arial"/>
          <w:sz w:val="20"/>
          <w:szCs w:val="20"/>
        </w:rPr>
        <w:t xml:space="preserve"> U</w:t>
      </w:r>
      <w:r w:rsidR="004E4A1D" w:rsidRPr="00CF2D2E">
        <w:rPr>
          <w:rFonts w:ascii="Arial" w:hAnsi="Arial" w:cs="Arial"/>
          <w:sz w:val="20"/>
          <w:szCs w:val="20"/>
        </w:rPr>
        <w:t xml:space="preserve">, </w:t>
      </w:r>
      <w:r w:rsidRPr="00CF2D2E">
        <w:rPr>
          <w:rFonts w:ascii="Arial" w:hAnsi="Arial" w:cs="Arial"/>
          <w:sz w:val="20"/>
          <w:szCs w:val="20"/>
        </w:rPr>
        <w:t>Brazil, Physics)</w:t>
      </w:r>
    </w:p>
    <w:p w:rsidR="00E24691" w:rsidRPr="00665E77" w:rsidRDefault="00E24691" w:rsidP="00E24691">
      <w:pPr>
        <w:pBdr>
          <w:bottom w:val="single" w:sz="12" w:space="1" w:color="auto"/>
        </w:pBdr>
        <w:tabs>
          <w:tab w:val="left" w:pos="360"/>
        </w:tabs>
        <w:jc w:val="both"/>
        <w:rPr>
          <w:rFonts w:ascii="Arial" w:hAnsi="Arial" w:cs="Arial"/>
        </w:rPr>
      </w:pPr>
    </w:p>
    <w:p w:rsidR="00E24691" w:rsidRPr="00E24691" w:rsidRDefault="00E24691" w:rsidP="00E24691">
      <w:pPr>
        <w:tabs>
          <w:tab w:val="left" w:pos="360"/>
        </w:tabs>
        <w:jc w:val="both"/>
        <w:rPr>
          <w:rFonts w:ascii="Arial" w:eastAsia="Times New Roman" w:hAnsi="Arial" w:cs="Arial"/>
          <w:lang w:eastAsia="zh-CN"/>
        </w:rPr>
      </w:pPr>
    </w:p>
    <w:p w:rsidR="00E24691" w:rsidRPr="00CF2D2E" w:rsidRDefault="00E24691" w:rsidP="00E24691">
      <w:pPr>
        <w:tabs>
          <w:tab w:val="left" w:pos="360"/>
        </w:tabs>
        <w:jc w:val="both"/>
        <w:rPr>
          <w:rFonts w:ascii="Arial" w:hAnsi="Arial" w:cs="Arial"/>
          <w:b/>
          <w:sz w:val="20"/>
          <w:szCs w:val="20"/>
        </w:rPr>
      </w:pPr>
      <w:r w:rsidRPr="00CF2D2E">
        <w:rPr>
          <w:rFonts w:ascii="Arial" w:hAnsi="Arial" w:cs="Arial"/>
          <w:b/>
          <w:sz w:val="20"/>
          <w:szCs w:val="20"/>
        </w:rPr>
        <w:t>Introduction</w:t>
      </w:r>
    </w:p>
    <w:p w:rsidR="00E24691" w:rsidRPr="00CF2D2E" w:rsidRDefault="00E24691" w:rsidP="004E4A1D">
      <w:pPr>
        <w:ind w:firstLine="360"/>
        <w:jc w:val="both"/>
        <w:rPr>
          <w:rFonts w:ascii="Arial" w:eastAsia="Times New Roman" w:hAnsi="Arial" w:cs="Arial"/>
          <w:sz w:val="20"/>
          <w:szCs w:val="20"/>
          <w:lang w:eastAsia="zh-CN"/>
        </w:rPr>
      </w:pPr>
      <w:r w:rsidRPr="00CF2D2E">
        <w:rPr>
          <w:rFonts w:ascii="Arial" w:eastAsia="Times New Roman" w:hAnsi="Arial" w:cs="Arial"/>
          <w:sz w:val="20"/>
          <w:szCs w:val="20"/>
          <w:lang w:eastAsia="zh-CN"/>
        </w:rPr>
        <w:t xml:space="preserve">For many classes of unconventional superconductors, such as the </w:t>
      </w:r>
      <w:proofErr w:type="spellStart"/>
      <w:r w:rsidRPr="00CF2D2E">
        <w:rPr>
          <w:rFonts w:ascii="Arial" w:eastAsia="Times New Roman" w:hAnsi="Arial" w:cs="Arial"/>
          <w:sz w:val="20"/>
          <w:szCs w:val="20"/>
          <w:lang w:eastAsia="zh-CN"/>
        </w:rPr>
        <w:t>cuprates</w:t>
      </w:r>
      <w:proofErr w:type="spellEnd"/>
      <w:r w:rsidRPr="00CF2D2E">
        <w:rPr>
          <w:rFonts w:ascii="Arial" w:eastAsia="Times New Roman" w:hAnsi="Arial" w:cs="Arial"/>
          <w:sz w:val="20"/>
          <w:szCs w:val="20"/>
          <w:lang w:eastAsia="zh-CN"/>
        </w:rPr>
        <w:t xml:space="preserve">, heavy fermion superconductors, organic materials and iron </w:t>
      </w:r>
      <w:proofErr w:type="spellStart"/>
      <w:r w:rsidRPr="00CF2D2E">
        <w:rPr>
          <w:rFonts w:ascii="Arial" w:eastAsia="Times New Roman" w:hAnsi="Arial" w:cs="Arial"/>
          <w:sz w:val="20"/>
          <w:szCs w:val="20"/>
          <w:lang w:eastAsia="zh-CN"/>
        </w:rPr>
        <w:t>pnictides</w:t>
      </w:r>
      <w:proofErr w:type="spellEnd"/>
      <w:r w:rsidRPr="00CF2D2E">
        <w:rPr>
          <w:rFonts w:ascii="Arial" w:eastAsia="Times New Roman" w:hAnsi="Arial" w:cs="Arial"/>
          <w:sz w:val="20"/>
          <w:szCs w:val="20"/>
          <w:lang w:eastAsia="zh-CN"/>
        </w:rPr>
        <w:t xml:space="preserve"> electronic interactions are believed to be essential. Among the many puzzling features of these systems is their behavior in the presence of disorder. In weakly interacting d -wave superconductors, </w:t>
      </w:r>
      <w:proofErr w:type="spellStart"/>
      <w:r w:rsidRPr="00CF2D2E">
        <w:rPr>
          <w:rFonts w:ascii="Arial" w:eastAsia="Times New Roman" w:hAnsi="Arial" w:cs="Arial"/>
          <w:sz w:val="20"/>
          <w:szCs w:val="20"/>
          <w:lang w:eastAsia="zh-CN"/>
        </w:rPr>
        <w:t>Abrikosov</w:t>
      </w:r>
      <w:proofErr w:type="spellEnd"/>
      <w:r w:rsidRPr="00CF2D2E">
        <w:rPr>
          <w:rFonts w:ascii="Arial" w:eastAsia="Times New Roman" w:hAnsi="Arial" w:cs="Arial"/>
          <w:sz w:val="20"/>
          <w:szCs w:val="20"/>
          <w:lang w:eastAsia="zh-CN"/>
        </w:rPr>
        <w:t xml:space="preserve">-Gor'kov (AG) theory predicts </w:t>
      </w:r>
      <w:r w:rsidRPr="00CF2D2E">
        <w:rPr>
          <w:rFonts w:ascii="Arial" w:eastAsia="Times New Roman" w:hAnsi="Arial" w:cs="Arial"/>
          <w:iCs/>
          <w:sz w:val="20"/>
          <w:szCs w:val="20"/>
          <w:lang w:eastAsia="zh-CN"/>
        </w:rPr>
        <w:t>that a tiny amount of non-magnetic impurities should bring the transition temperature</w:t>
      </w:r>
      <w:r w:rsidRPr="00CF2D2E">
        <w:rPr>
          <w:rFonts w:ascii="Arial" w:eastAsia="Times New Roman" w:hAnsi="Arial" w:cs="Arial"/>
          <w:i/>
          <w:iCs/>
          <w:sz w:val="20"/>
          <w:szCs w:val="20"/>
          <w:lang w:eastAsia="zh-CN"/>
        </w:rPr>
        <w:t xml:space="preserve"> </w:t>
      </w:r>
      <m:oMath>
        <m:sSub>
          <m:sSubPr>
            <m:ctrlPr>
              <w:rPr>
                <w:rFonts w:ascii="Cambria Math" w:eastAsia="Times New Roman" w:hAnsi="Cambria Math" w:cs="Arial"/>
                <w:iCs/>
                <w:sz w:val="20"/>
                <w:szCs w:val="20"/>
                <w:lang w:eastAsia="zh-CN"/>
              </w:rPr>
            </m:ctrlPr>
          </m:sSubPr>
          <m:e>
            <m:r>
              <w:rPr>
                <w:rFonts w:ascii="Cambria Math" w:eastAsia="Times New Roman" w:hAnsi="Cambria Math" w:cs="Arial"/>
                <w:sz w:val="20"/>
                <w:szCs w:val="20"/>
                <w:lang w:eastAsia="zh-CN"/>
              </w:rPr>
              <m:t>T</m:t>
            </m:r>
          </m:e>
          <m:sub>
            <m:r>
              <w:rPr>
                <w:rFonts w:ascii="Cambria Math" w:eastAsia="Times New Roman" w:hAnsi="Cambria Math" w:cs="Arial"/>
                <w:sz w:val="20"/>
                <w:szCs w:val="20"/>
                <w:lang w:eastAsia="zh-CN"/>
              </w:rPr>
              <m:t>c</m:t>
            </m:r>
          </m:sub>
        </m:sSub>
      </m:oMath>
      <w:r w:rsidRPr="00CF2D2E">
        <w:rPr>
          <w:rFonts w:ascii="Arial" w:eastAsia="Times New Roman" w:hAnsi="Arial" w:cs="Arial"/>
          <w:iCs/>
          <w:sz w:val="20"/>
          <w:szCs w:val="20"/>
          <w:lang w:eastAsia="zh-CN"/>
        </w:rPr>
        <w:t xml:space="preserve"> </w:t>
      </w:r>
      <w:r w:rsidRPr="00CF2D2E">
        <w:rPr>
          <w:rFonts w:ascii="Arial" w:eastAsia="Times New Roman" w:hAnsi="Arial" w:cs="Arial"/>
          <w:sz w:val="20"/>
          <w:szCs w:val="20"/>
          <w:lang w:eastAsia="zh-CN"/>
        </w:rPr>
        <w:t xml:space="preserve">to zero. In the case of the </w:t>
      </w:r>
      <w:proofErr w:type="spellStart"/>
      <w:r w:rsidRPr="00CF2D2E">
        <w:rPr>
          <w:rFonts w:ascii="Arial" w:eastAsia="Times New Roman" w:hAnsi="Arial" w:cs="Arial"/>
          <w:sz w:val="20"/>
          <w:szCs w:val="20"/>
          <w:lang w:eastAsia="zh-CN"/>
        </w:rPr>
        <w:t>cuprates</w:t>
      </w:r>
      <w:proofErr w:type="spellEnd"/>
      <w:r w:rsidRPr="00CF2D2E">
        <w:rPr>
          <w:rFonts w:ascii="Arial" w:eastAsia="Times New Roman" w:hAnsi="Arial" w:cs="Arial"/>
          <w:sz w:val="20"/>
          <w:szCs w:val="20"/>
          <w:lang w:eastAsia="zh-CN"/>
        </w:rPr>
        <w:t xml:space="preserve">, however, experiments have shown that these </w:t>
      </w:r>
      <w:r w:rsidRPr="00CF2D2E">
        <w:rPr>
          <w:rFonts w:ascii="Arial" w:eastAsia="Times New Roman" w:hAnsi="Arial" w:cs="Arial"/>
          <w:iCs/>
          <w:sz w:val="20"/>
          <w:szCs w:val="20"/>
          <w:lang w:eastAsia="zh-CN"/>
        </w:rPr>
        <w:t>d-wave superconductors are very robust against disorder</w:t>
      </w:r>
      <w:r w:rsidRPr="00CF2D2E">
        <w:rPr>
          <w:rFonts w:ascii="Arial" w:eastAsia="Times New Roman" w:hAnsi="Arial" w:cs="Arial"/>
          <w:i/>
          <w:iCs/>
          <w:sz w:val="20"/>
          <w:szCs w:val="20"/>
          <w:lang w:eastAsia="zh-CN"/>
        </w:rPr>
        <w:t xml:space="preserve">. </w:t>
      </w:r>
      <w:r w:rsidRPr="00CF2D2E">
        <w:rPr>
          <w:rFonts w:ascii="Arial" w:eastAsia="Times New Roman" w:hAnsi="Arial" w:cs="Arial"/>
          <w:sz w:val="20"/>
          <w:szCs w:val="20"/>
          <w:lang w:eastAsia="zh-CN"/>
        </w:rPr>
        <w:t>This feature was frequently ascribed to scattering by charged off-plane impurities, which is mostly in the forward direction. The puzzle was partially clarified, however, once strong electronic interactions were shown to give rise to the impurity screening effects seen in these experiments, as captured by</w:t>
      </w:r>
      <w:r w:rsidRPr="00CF2D2E">
        <w:rPr>
          <w:rFonts w:ascii="Arial" w:eastAsia="Times New Roman" w:hAnsi="Arial" w:cs="Arial"/>
          <w:iCs/>
          <w:sz w:val="20"/>
          <w:szCs w:val="20"/>
          <w:lang w:eastAsia="zh-CN"/>
        </w:rPr>
        <w:t xml:space="preserve"> the </w:t>
      </w:r>
      <w:proofErr w:type="spellStart"/>
      <w:r w:rsidRPr="00CF2D2E">
        <w:rPr>
          <w:rFonts w:ascii="Arial" w:eastAsia="Times New Roman" w:hAnsi="Arial" w:cs="Arial"/>
          <w:iCs/>
          <w:sz w:val="20"/>
          <w:szCs w:val="20"/>
          <w:lang w:eastAsia="zh-CN"/>
        </w:rPr>
        <w:t>Gutzwiller</w:t>
      </w:r>
      <w:proofErr w:type="spellEnd"/>
      <w:r w:rsidRPr="00CF2D2E">
        <w:rPr>
          <w:rFonts w:ascii="Arial" w:eastAsia="Times New Roman" w:hAnsi="Arial" w:cs="Arial"/>
          <w:iCs/>
          <w:sz w:val="20"/>
          <w:szCs w:val="20"/>
          <w:lang w:eastAsia="zh-CN"/>
        </w:rPr>
        <w:t>-projected wave function.</w:t>
      </w:r>
      <w:r w:rsidRPr="00CF2D2E">
        <w:rPr>
          <w:rFonts w:ascii="Arial" w:eastAsia="Times New Roman" w:hAnsi="Arial" w:cs="Arial"/>
          <w:i/>
          <w:iCs/>
          <w:sz w:val="20"/>
          <w:szCs w:val="20"/>
          <w:lang w:eastAsia="zh-CN"/>
        </w:rPr>
        <w:t xml:space="preserve"> </w:t>
      </w:r>
      <w:r w:rsidRPr="00CF2D2E">
        <w:rPr>
          <w:rFonts w:ascii="Arial" w:eastAsia="Times New Roman" w:hAnsi="Arial" w:cs="Arial"/>
          <w:sz w:val="20"/>
          <w:szCs w:val="20"/>
          <w:lang w:eastAsia="zh-CN"/>
        </w:rPr>
        <w:t xml:space="preserve">Despite this progress, it would be desirable to understand both qualitatively and quantitatively whether disorder screening has any significant influence on </w:t>
      </w:r>
      <m:oMath>
        <m:sSub>
          <m:sSubPr>
            <m:ctrlPr>
              <w:rPr>
                <w:rFonts w:ascii="Cambria Math" w:eastAsia="Times New Roman" w:hAnsi="Cambria Math" w:cs="Arial"/>
                <w:iCs/>
                <w:sz w:val="20"/>
                <w:szCs w:val="20"/>
                <w:lang w:eastAsia="zh-CN"/>
              </w:rPr>
            </m:ctrlPr>
          </m:sSubPr>
          <m:e>
            <m:r>
              <w:rPr>
                <w:rFonts w:ascii="Cambria Math" w:eastAsia="Times New Roman" w:hAnsi="Cambria Math" w:cs="Arial"/>
                <w:sz w:val="20"/>
                <w:szCs w:val="20"/>
                <w:lang w:eastAsia="zh-CN"/>
              </w:rPr>
              <m:t>T</m:t>
            </m:r>
          </m:e>
          <m:sub>
            <m:r>
              <w:rPr>
                <w:rFonts w:ascii="Cambria Math" w:eastAsia="Times New Roman" w:hAnsi="Cambria Math" w:cs="Arial"/>
                <w:sz w:val="20"/>
                <w:szCs w:val="20"/>
                <w:lang w:eastAsia="zh-CN"/>
              </w:rPr>
              <m:t>c</m:t>
            </m:r>
          </m:sub>
        </m:sSub>
      </m:oMath>
      <w:r w:rsidRPr="00CF2D2E">
        <w:rPr>
          <w:rFonts w:ascii="Arial" w:eastAsia="Times New Roman" w:hAnsi="Arial" w:cs="Arial"/>
          <w:iCs/>
          <w:sz w:val="20"/>
          <w:szCs w:val="20"/>
          <w:lang w:eastAsia="zh-CN"/>
        </w:rPr>
        <w:t xml:space="preserve">  </w:t>
      </w:r>
      <w:r w:rsidRPr="00CF2D2E">
        <w:rPr>
          <w:rFonts w:ascii="Arial" w:eastAsia="Times New Roman" w:hAnsi="Arial" w:cs="Arial"/>
          <w:sz w:val="20"/>
          <w:szCs w:val="20"/>
          <w:lang w:eastAsia="zh-CN"/>
        </w:rPr>
        <w:t>as well as on the normal state transport properties.</w:t>
      </w:r>
    </w:p>
    <w:p w:rsidR="00E24691" w:rsidRPr="00CF2D2E" w:rsidRDefault="00E24691" w:rsidP="00E24691">
      <w:pPr>
        <w:tabs>
          <w:tab w:val="left" w:pos="360"/>
        </w:tabs>
        <w:jc w:val="both"/>
        <w:rPr>
          <w:rFonts w:ascii="Arial" w:hAnsi="Arial" w:cs="Arial"/>
          <w:sz w:val="20"/>
          <w:szCs w:val="20"/>
        </w:rPr>
      </w:pPr>
    </w:p>
    <w:p w:rsidR="00E24691" w:rsidRPr="00CF2D2E" w:rsidRDefault="00E24691" w:rsidP="00E24691">
      <w:pPr>
        <w:tabs>
          <w:tab w:val="left" w:pos="360"/>
        </w:tabs>
        <w:jc w:val="both"/>
        <w:rPr>
          <w:rFonts w:ascii="Arial" w:hAnsi="Arial" w:cs="Arial"/>
          <w:b/>
          <w:sz w:val="20"/>
          <w:szCs w:val="20"/>
        </w:rPr>
      </w:pPr>
      <w:r w:rsidRPr="00CF2D2E">
        <w:rPr>
          <w:rFonts w:ascii="Arial" w:hAnsi="Arial" w:cs="Arial"/>
          <w:b/>
          <w:sz w:val="20"/>
          <w:szCs w:val="20"/>
        </w:rPr>
        <w:t>Results and Discussion</w:t>
      </w:r>
    </w:p>
    <w:p w:rsidR="00E24691" w:rsidRPr="00CF2D2E" w:rsidRDefault="00E24691" w:rsidP="00CF2D2E">
      <w:pPr>
        <w:ind w:firstLine="360"/>
        <w:jc w:val="both"/>
        <w:rPr>
          <w:rFonts w:ascii="Arial" w:eastAsia="Times New Roman" w:hAnsi="Arial" w:cs="Arial"/>
          <w:sz w:val="20"/>
          <w:szCs w:val="20"/>
          <w:lang w:eastAsia="zh-CN"/>
        </w:rPr>
      </w:pPr>
      <w:r w:rsidRPr="00CF2D2E">
        <w:rPr>
          <w:rFonts w:ascii="Arial" w:eastAsia="Times New Roman" w:hAnsi="Arial" w:cs="Arial"/>
          <w:sz w:val="20"/>
          <w:szCs w:val="20"/>
          <w:lang w:eastAsia="zh-CN"/>
        </w:rPr>
        <w:t xml:space="preserve">In the presence of impurities, the strongly correlated state readjusts itself and creates a renormalized disorder potential. In the dilute limit, the AG theory can be extended to describe the effect of this renormalized potential on </w:t>
      </w:r>
      <m:oMath>
        <m:sSub>
          <m:sSubPr>
            <m:ctrlPr>
              <w:rPr>
                <w:rFonts w:ascii="Cambria Math" w:eastAsia="Times New Roman" w:hAnsi="Cambria Math" w:cs="Arial"/>
                <w:i/>
                <w:iCs/>
                <w:sz w:val="20"/>
                <w:szCs w:val="20"/>
                <w:lang w:eastAsia="zh-CN"/>
              </w:rPr>
            </m:ctrlPr>
          </m:sSubPr>
          <m:e>
            <m:r>
              <w:rPr>
                <w:rFonts w:ascii="Cambria Math" w:eastAsia="Times New Roman" w:hAnsi="Cambria Math" w:cs="Arial"/>
                <w:sz w:val="20"/>
                <w:szCs w:val="20"/>
                <w:lang w:eastAsia="zh-CN"/>
              </w:rPr>
              <m:t>T</m:t>
            </m:r>
          </m:e>
          <m:sub>
            <m:r>
              <w:rPr>
                <w:rFonts w:ascii="Cambria Math" w:eastAsia="Times New Roman" w:hAnsi="Cambria Math" w:cs="Arial"/>
                <w:sz w:val="20"/>
                <w:szCs w:val="20"/>
                <w:lang w:eastAsia="zh-CN"/>
              </w:rPr>
              <m:t>c</m:t>
            </m:r>
          </m:sub>
        </m:sSub>
      </m:oMath>
      <w:r w:rsidRPr="00CF2D2E">
        <w:rPr>
          <w:rFonts w:ascii="Arial" w:eastAsia="Times New Roman" w:hAnsi="Arial" w:cs="Arial"/>
          <w:iCs/>
          <w:sz w:val="20"/>
          <w:szCs w:val="20"/>
          <w:lang w:eastAsia="zh-CN"/>
        </w:rPr>
        <w:t xml:space="preserve"> </w:t>
      </w:r>
      <w:r w:rsidRPr="00CF2D2E">
        <w:rPr>
          <w:rFonts w:ascii="Arial" w:eastAsia="Times New Roman" w:hAnsi="Arial" w:cs="Arial"/>
          <w:sz w:val="20"/>
          <w:szCs w:val="20"/>
          <w:lang w:eastAsia="zh-CN"/>
        </w:rPr>
        <w:t>degradation and transport properties.</w:t>
      </w:r>
      <w:r w:rsidRPr="00CF2D2E">
        <w:rPr>
          <w:rFonts w:ascii="Arial" w:eastAsia="Times New Roman" w:hAnsi="Arial" w:cs="Arial"/>
          <w:iCs/>
          <w:sz w:val="20"/>
          <w:szCs w:val="20"/>
          <w:lang w:eastAsia="zh-CN"/>
        </w:rPr>
        <w:t xml:space="preserve"> We show that how electronic interactions lead to a much slower decrease of </w:t>
      </w:r>
      <m:oMath>
        <m:sSub>
          <m:sSubPr>
            <m:ctrlPr>
              <w:rPr>
                <w:rFonts w:ascii="Cambria Math" w:eastAsia="Times New Roman" w:hAnsi="Cambria Math" w:cs="Arial"/>
                <w:i/>
                <w:iCs/>
                <w:sz w:val="20"/>
                <w:szCs w:val="20"/>
                <w:lang w:eastAsia="zh-CN"/>
              </w:rPr>
            </m:ctrlPr>
          </m:sSubPr>
          <m:e>
            <m:r>
              <w:rPr>
                <w:rFonts w:ascii="Cambria Math" w:eastAsia="Times New Roman" w:hAnsi="Cambria Math" w:cs="Arial"/>
                <w:sz w:val="20"/>
                <w:szCs w:val="20"/>
                <w:lang w:eastAsia="zh-CN"/>
              </w:rPr>
              <m:t>T</m:t>
            </m:r>
          </m:e>
          <m:sub>
            <m:r>
              <w:rPr>
                <w:rFonts w:ascii="Cambria Math" w:eastAsia="Times New Roman" w:hAnsi="Cambria Math" w:cs="Arial"/>
                <w:sz w:val="20"/>
                <w:szCs w:val="20"/>
                <w:lang w:eastAsia="zh-CN"/>
              </w:rPr>
              <m:t>c</m:t>
            </m:r>
          </m:sub>
        </m:sSub>
      </m:oMath>
      <w:r w:rsidRPr="00CF2D2E">
        <w:rPr>
          <w:rFonts w:ascii="Arial" w:eastAsia="Times New Roman" w:hAnsi="Arial" w:cs="Arial"/>
          <w:iCs/>
          <w:sz w:val="20"/>
          <w:szCs w:val="20"/>
          <w:lang w:eastAsia="zh-CN"/>
        </w:rPr>
        <w:t xml:space="preserve"> as compared to the weak-coupling theory. </w:t>
      </w:r>
      <w:r w:rsidRPr="00CF2D2E">
        <w:rPr>
          <w:rFonts w:ascii="Arial" w:eastAsia="Times New Roman" w:hAnsi="Arial" w:cs="Arial"/>
          <w:sz w:val="20"/>
          <w:szCs w:val="20"/>
          <w:lang w:eastAsia="zh-CN"/>
        </w:rPr>
        <w:t>Our results demonstrate that (</w:t>
      </w:r>
      <w:proofErr w:type="spellStart"/>
      <w:r w:rsidRPr="00CF2D2E">
        <w:rPr>
          <w:rFonts w:ascii="Arial" w:eastAsia="Times New Roman" w:hAnsi="Arial" w:cs="Arial"/>
          <w:sz w:val="20"/>
          <w:szCs w:val="20"/>
          <w:lang w:eastAsia="zh-CN"/>
        </w:rPr>
        <w:t>i</w:t>
      </w:r>
      <w:proofErr w:type="spellEnd"/>
      <w:r w:rsidRPr="00CF2D2E">
        <w:rPr>
          <w:rFonts w:ascii="Arial" w:eastAsia="Times New Roman" w:hAnsi="Arial" w:cs="Arial"/>
          <w:sz w:val="20"/>
          <w:szCs w:val="20"/>
          <w:lang w:eastAsia="zh-CN"/>
        </w:rPr>
        <w:t xml:space="preserve">) this effect is intrinsically tied to the proximity to the Mott insulating state, although it is significant even above optimal doping; (ii) the doping dependence of normal state resistivity is different from that of the pair-breaking scattering rate, which </w:t>
      </w:r>
      <w:proofErr w:type="gramStart"/>
      <w:r w:rsidRPr="00CF2D2E">
        <w:rPr>
          <w:rFonts w:ascii="Arial" w:eastAsia="Times New Roman" w:hAnsi="Arial" w:cs="Arial"/>
          <w:sz w:val="20"/>
          <w:szCs w:val="20"/>
          <w:lang w:eastAsia="zh-CN"/>
        </w:rPr>
        <w:t xml:space="preserve">governs </w:t>
      </w:r>
      <w:proofErr w:type="gramEnd"/>
      <m:oMath>
        <m:sSub>
          <m:sSubPr>
            <m:ctrlPr>
              <w:rPr>
                <w:rFonts w:ascii="Cambria Math" w:eastAsia="Times New Roman" w:hAnsi="Cambria Math" w:cs="Arial"/>
                <w:i/>
                <w:iCs/>
                <w:sz w:val="20"/>
                <w:szCs w:val="20"/>
                <w:lang w:eastAsia="zh-CN"/>
              </w:rPr>
            </m:ctrlPr>
          </m:sSubPr>
          <m:e>
            <m:r>
              <w:rPr>
                <w:rFonts w:ascii="Cambria Math" w:eastAsia="Times New Roman" w:hAnsi="Cambria Math" w:cs="Arial"/>
                <w:sz w:val="20"/>
                <w:szCs w:val="20"/>
                <w:lang w:eastAsia="zh-CN"/>
              </w:rPr>
              <m:t>T</m:t>
            </m:r>
          </m:e>
          <m:sub>
            <m:r>
              <w:rPr>
                <w:rFonts w:ascii="Cambria Math" w:eastAsia="Times New Roman" w:hAnsi="Cambria Math" w:cs="Arial"/>
                <w:sz w:val="20"/>
                <w:szCs w:val="20"/>
                <w:lang w:eastAsia="zh-CN"/>
              </w:rPr>
              <m:t>c</m:t>
            </m:r>
          </m:sub>
        </m:sSub>
      </m:oMath>
      <w:r w:rsidRPr="00CF2D2E">
        <w:rPr>
          <w:rFonts w:ascii="Arial" w:eastAsia="Times New Roman" w:hAnsi="Arial" w:cs="Arial"/>
          <w:sz w:val="20"/>
          <w:szCs w:val="20"/>
          <w:lang w:eastAsia="zh-CN"/>
        </w:rPr>
        <w:t>; and (iii) the softening of the disorder potential by interactions leads to a strong enhancement of the forward scattering amplitude.</w:t>
      </w:r>
    </w:p>
    <w:p w:rsidR="00E24691" w:rsidRPr="00E24691" w:rsidRDefault="00E24691" w:rsidP="00E24691">
      <w:pPr>
        <w:tabs>
          <w:tab w:val="left" w:pos="360"/>
        </w:tabs>
        <w:jc w:val="both"/>
        <w:rPr>
          <w:rFonts w:ascii="Arial" w:eastAsia="Times New Roman" w:hAnsi="Arial" w:cs="Arial"/>
          <w:b/>
          <w:bCs/>
          <w:noProof/>
          <w:lang w:eastAsia="zh-CN"/>
        </w:rPr>
      </w:pPr>
    </w:p>
    <w:p w:rsidR="00E24691" w:rsidRPr="00401C59" w:rsidRDefault="00E24691" w:rsidP="00E24691">
      <w:pPr>
        <w:jc w:val="both"/>
        <w:rPr>
          <w:rFonts w:ascii="Arial" w:eastAsia="Times New Roman" w:hAnsi="Arial" w:cs="Arial"/>
          <w:lang w:eastAsia="zh-CN"/>
        </w:rPr>
      </w:pPr>
      <w:r>
        <w:rPr>
          <w:rFonts w:ascii="Arial" w:hAnsi="Arial" w:cs="Arial"/>
          <w:noProof/>
          <w:lang w:eastAsia="en-US"/>
        </w:rPr>
        <w:drawing>
          <wp:inline distT="0" distB="0" distL="0" distR="0">
            <wp:extent cx="2997200" cy="1828800"/>
            <wp:effectExtent l="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7200" cy="1828800"/>
                    </a:xfrm>
                    <a:prstGeom prst="rect">
                      <a:avLst/>
                    </a:prstGeom>
                    <a:noFill/>
                    <a:ln>
                      <a:noFill/>
                    </a:ln>
                  </pic:spPr>
                </pic:pic>
              </a:graphicData>
            </a:graphic>
          </wp:inline>
        </w:drawing>
      </w:r>
      <w:r w:rsidRPr="00665E77">
        <w:rPr>
          <w:rFonts w:ascii="Arial" w:hAnsi="Arial" w:cs="Arial"/>
          <w:noProof/>
          <w:lang w:eastAsia="zh-CN"/>
        </w:rPr>
        <w:t xml:space="preserve"> </w:t>
      </w:r>
      <w:r>
        <w:rPr>
          <w:rFonts w:ascii="Arial" w:hAnsi="Arial" w:cs="Arial"/>
          <w:noProof/>
          <w:lang w:eastAsia="en-US"/>
        </w:rPr>
        <w:drawing>
          <wp:inline distT="0" distB="0" distL="0" distR="0">
            <wp:extent cx="2853055" cy="1828800"/>
            <wp:effectExtent l="0" t="0" r="4445" b="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3055" cy="1828800"/>
                    </a:xfrm>
                    <a:prstGeom prst="rect">
                      <a:avLst/>
                    </a:prstGeom>
                    <a:noFill/>
                    <a:ln>
                      <a:noFill/>
                    </a:ln>
                  </pic:spPr>
                </pic:pic>
              </a:graphicData>
            </a:graphic>
          </wp:inline>
        </w:drawing>
      </w:r>
    </w:p>
    <w:p w:rsidR="00E24691" w:rsidRPr="00E24691" w:rsidRDefault="00E24691" w:rsidP="00E24691">
      <w:pPr>
        <w:jc w:val="both"/>
        <w:rPr>
          <w:rFonts w:ascii="Arial" w:eastAsia="Times New Roman" w:hAnsi="Arial" w:cs="Arial"/>
          <w:lang w:eastAsia="zh-CN"/>
        </w:rPr>
      </w:pPr>
    </w:p>
    <w:p w:rsidR="00E24691" w:rsidRPr="00CF2D2E" w:rsidRDefault="00E24691" w:rsidP="00E24691">
      <w:pPr>
        <w:jc w:val="both"/>
        <w:rPr>
          <w:rFonts w:ascii="Arial" w:eastAsia="Times New Roman" w:hAnsi="Arial" w:cs="Arial"/>
          <w:sz w:val="18"/>
          <w:szCs w:val="18"/>
          <w:lang w:eastAsia="zh-CN"/>
        </w:rPr>
      </w:pPr>
      <w:proofErr w:type="gramStart"/>
      <w:r w:rsidRPr="00CF2D2E">
        <w:rPr>
          <w:rFonts w:ascii="Arial" w:hAnsi="Arial" w:cs="Arial"/>
          <w:b/>
          <w:sz w:val="18"/>
          <w:szCs w:val="18"/>
        </w:rPr>
        <w:t xml:space="preserve">Figure </w:t>
      </w:r>
      <w:r w:rsidRPr="00CF2D2E">
        <w:rPr>
          <w:rFonts w:ascii="Arial" w:hAnsi="Arial" w:cs="Arial"/>
          <w:b/>
          <w:sz w:val="18"/>
          <w:szCs w:val="18"/>
        </w:rPr>
        <w:fldChar w:fldCharType="begin"/>
      </w:r>
      <w:r w:rsidRPr="00CF2D2E">
        <w:rPr>
          <w:rFonts w:ascii="Arial" w:hAnsi="Arial" w:cs="Arial"/>
          <w:b/>
          <w:sz w:val="18"/>
          <w:szCs w:val="18"/>
        </w:rPr>
        <w:instrText xml:space="preserve"> SEQ Figure \* ARABIC </w:instrText>
      </w:r>
      <w:r w:rsidRPr="00CF2D2E">
        <w:rPr>
          <w:rFonts w:ascii="Arial" w:hAnsi="Arial" w:cs="Arial"/>
          <w:b/>
          <w:sz w:val="18"/>
          <w:szCs w:val="18"/>
        </w:rPr>
        <w:fldChar w:fldCharType="separate"/>
      </w:r>
      <w:r w:rsidRPr="00CF2D2E">
        <w:rPr>
          <w:rFonts w:ascii="Arial" w:hAnsi="Arial" w:cs="Arial"/>
          <w:b/>
          <w:noProof/>
          <w:sz w:val="18"/>
          <w:szCs w:val="18"/>
        </w:rPr>
        <w:t>1</w:t>
      </w:r>
      <w:r w:rsidRPr="00CF2D2E">
        <w:rPr>
          <w:rFonts w:ascii="Arial" w:hAnsi="Arial" w:cs="Arial"/>
          <w:b/>
          <w:sz w:val="18"/>
          <w:szCs w:val="18"/>
        </w:rPr>
        <w:fldChar w:fldCharType="end"/>
      </w:r>
      <w:r w:rsidRPr="00CF2D2E">
        <w:rPr>
          <w:rFonts w:ascii="Arial" w:hAnsi="Arial" w:cs="Arial"/>
          <w:b/>
          <w:sz w:val="18"/>
          <w:szCs w:val="18"/>
        </w:rPr>
        <w:t>.</w:t>
      </w:r>
      <w:proofErr w:type="gramEnd"/>
      <w:r w:rsidRPr="00CF2D2E">
        <w:rPr>
          <w:rFonts w:ascii="Arial" w:hAnsi="Arial" w:cs="Arial"/>
          <w:sz w:val="18"/>
          <w:szCs w:val="18"/>
        </w:rPr>
        <w:t xml:space="preserve"> </w:t>
      </w:r>
      <w:r w:rsidRPr="00CF2D2E">
        <w:rPr>
          <w:rFonts w:ascii="Arial" w:eastAsia="Times New Roman" w:hAnsi="Arial" w:cs="Arial"/>
          <w:sz w:val="18"/>
          <w:szCs w:val="18"/>
          <w:lang w:eastAsia="zh-CN"/>
        </w:rPr>
        <w:t xml:space="preserve">Left Panel: The pair-breaking and transport scattering rates normalized by the non-correlated value </w:t>
      </w:r>
      <m:oMath>
        <m:r>
          <w:rPr>
            <w:rFonts w:ascii="Cambria Math" w:eastAsia="Times New Roman" w:hAnsi="Cambria Math" w:cs="Arial"/>
            <w:sz w:val="18"/>
            <w:szCs w:val="18"/>
            <w:lang w:eastAsia="zh-CN"/>
          </w:rPr>
          <m:t xml:space="preserve">1/ </m:t>
        </m:r>
        <m:sSub>
          <m:sSubPr>
            <m:ctrlPr>
              <w:rPr>
                <w:rFonts w:ascii="Cambria Math" w:eastAsia="Times New Roman" w:hAnsi="Cambria Math" w:cs="Arial"/>
                <w:i/>
                <w:sz w:val="18"/>
                <w:szCs w:val="18"/>
                <w:lang w:eastAsia="zh-CN"/>
              </w:rPr>
            </m:ctrlPr>
          </m:sSubPr>
          <m:e>
            <m:r>
              <w:rPr>
                <w:rFonts w:ascii="Cambria Math" w:eastAsia="Times New Roman" w:hAnsi="Cambria Math" w:cs="Arial"/>
                <w:sz w:val="18"/>
                <w:szCs w:val="18"/>
                <w:lang w:eastAsia="zh-CN"/>
              </w:rPr>
              <m:t>τ</m:t>
            </m:r>
          </m:e>
          <m:sub>
            <m:r>
              <w:rPr>
                <w:rFonts w:ascii="Cambria Math" w:eastAsia="Times New Roman" w:hAnsi="Cambria Math" w:cs="Arial"/>
                <w:sz w:val="18"/>
                <w:szCs w:val="18"/>
                <w:lang w:eastAsia="zh-CN"/>
              </w:rPr>
              <m:t>0</m:t>
            </m:r>
          </m:sub>
        </m:sSub>
      </m:oMath>
      <w:r w:rsidRPr="00CF2D2E">
        <w:rPr>
          <w:rFonts w:ascii="Arial" w:eastAsia="Times New Roman" w:hAnsi="Arial" w:cs="Arial"/>
          <w:sz w:val="18"/>
          <w:szCs w:val="18"/>
          <w:lang w:eastAsia="zh-CN"/>
        </w:rPr>
        <w:t xml:space="preserve"> as a function of the doping level. Right Panel: The angular dependence of the renormalized </w:t>
      </w:r>
      <m:oMath>
        <m:r>
          <w:rPr>
            <w:rFonts w:ascii="Cambria Math" w:eastAsia="Times New Roman" w:hAnsi="Cambria Math" w:cs="Arial"/>
            <w:sz w:val="18"/>
            <w:szCs w:val="18"/>
            <w:lang w:eastAsia="zh-CN"/>
          </w:rPr>
          <m:t>T</m:t>
        </m:r>
      </m:oMath>
      <w:r w:rsidRPr="00CF2D2E">
        <w:rPr>
          <w:rFonts w:ascii="Arial" w:eastAsia="Times New Roman" w:hAnsi="Arial" w:cs="Arial"/>
          <w:sz w:val="18"/>
          <w:szCs w:val="18"/>
          <w:lang w:eastAsia="zh-CN"/>
        </w:rPr>
        <w:t xml:space="preserve">-matrices at </w:t>
      </w:r>
      <m:oMath>
        <m:r>
          <w:rPr>
            <w:rFonts w:ascii="Cambria Math" w:eastAsia="Times New Roman" w:hAnsi="Cambria Math" w:cs="Arial"/>
            <w:sz w:val="18"/>
            <w:szCs w:val="18"/>
            <w:lang w:eastAsia="zh-CN"/>
          </w:rPr>
          <m:t>x=0.15</m:t>
        </m:r>
      </m:oMath>
      <w:r w:rsidRPr="00CF2D2E">
        <w:rPr>
          <w:rFonts w:ascii="Arial" w:eastAsia="Times New Roman" w:hAnsi="Arial" w:cs="Arial"/>
          <w:sz w:val="18"/>
          <w:szCs w:val="18"/>
          <w:lang w:eastAsia="zh-CN"/>
        </w:rPr>
        <w:t xml:space="preserve"> (blue) and </w:t>
      </w:r>
      <m:oMath>
        <m:r>
          <w:rPr>
            <w:rFonts w:ascii="Cambria Math" w:eastAsia="Times New Roman" w:hAnsi="Cambria Math" w:cs="Arial"/>
            <w:sz w:val="18"/>
            <w:szCs w:val="18"/>
            <w:lang w:eastAsia="zh-CN"/>
          </w:rPr>
          <m:t>x=0.3</m:t>
        </m:r>
      </m:oMath>
      <w:r w:rsidRPr="00CF2D2E">
        <w:rPr>
          <w:rFonts w:ascii="Arial" w:eastAsia="Times New Roman" w:hAnsi="Arial" w:cs="Arial"/>
          <w:sz w:val="18"/>
          <w:szCs w:val="18"/>
          <w:lang w:eastAsia="zh-CN"/>
        </w:rPr>
        <w:t xml:space="preserve"> (red).</w:t>
      </w:r>
    </w:p>
    <w:p w:rsidR="00E24691" w:rsidRPr="00CF2D2E" w:rsidRDefault="00E24691" w:rsidP="00E24691">
      <w:pPr>
        <w:pStyle w:val="Caption"/>
        <w:jc w:val="both"/>
        <w:rPr>
          <w:rFonts w:ascii="Arial" w:hAnsi="Arial" w:cs="Arial"/>
          <w:sz w:val="18"/>
          <w:szCs w:val="18"/>
        </w:rPr>
      </w:pPr>
      <w:r w:rsidRPr="00CF2D2E">
        <w:rPr>
          <w:rFonts w:ascii="Arial" w:hAnsi="Arial" w:cs="Arial"/>
          <w:sz w:val="18"/>
          <w:szCs w:val="18"/>
        </w:rPr>
        <w:tab/>
      </w:r>
    </w:p>
    <w:p w:rsidR="00E24691" w:rsidRPr="00CF2D2E" w:rsidRDefault="00E24691" w:rsidP="00E24691">
      <w:pPr>
        <w:tabs>
          <w:tab w:val="left" w:pos="360"/>
        </w:tabs>
        <w:jc w:val="both"/>
        <w:rPr>
          <w:rFonts w:ascii="Arial" w:hAnsi="Arial" w:cs="Arial"/>
          <w:sz w:val="20"/>
          <w:szCs w:val="20"/>
        </w:rPr>
      </w:pPr>
      <w:r w:rsidRPr="00CF2D2E">
        <w:rPr>
          <w:rFonts w:ascii="Arial" w:hAnsi="Arial" w:cs="Arial"/>
          <w:b/>
          <w:sz w:val="20"/>
          <w:szCs w:val="20"/>
        </w:rPr>
        <w:t>Conclusions</w:t>
      </w:r>
    </w:p>
    <w:p w:rsidR="00E24691" w:rsidRPr="00CF2D2E" w:rsidRDefault="00E24691" w:rsidP="00CF2D2E">
      <w:pPr>
        <w:ind w:firstLine="360"/>
        <w:jc w:val="both"/>
        <w:rPr>
          <w:rFonts w:ascii="Arial" w:eastAsia="Times New Roman" w:hAnsi="Arial" w:cs="Arial"/>
          <w:sz w:val="20"/>
          <w:szCs w:val="20"/>
          <w:lang w:eastAsia="zh-CN"/>
        </w:rPr>
      </w:pPr>
      <w:r w:rsidRPr="00CF2D2E">
        <w:rPr>
          <w:rFonts w:ascii="Arial" w:eastAsia="Times New Roman" w:hAnsi="Arial" w:cs="Arial"/>
          <w:iCs/>
          <w:sz w:val="20"/>
          <w:szCs w:val="20"/>
          <w:lang w:eastAsia="zh-CN"/>
        </w:rPr>
        <w:t xml:space="preserve">We have shown how the weak-coupling AG theory of </w:t>
      </w:r>
      <m:oMath>
        <m:sSub>
          <m:sSubPr>
            <m:ctrlPr>
              <w:rPr>
                <w:rFonts w:ascii="Cambria Math" w:eastAsia="Times New Roman" w:hAnsi="Cambria Math" w:cs="Arial"/>
                <w:iCs/>
                <w:sz w:val="20"/>
                <w:szCs w:val="20"/>
                <w:lang w:eastAsia="zh-CN"/>
              </w:rPr>
            </m:ctrlPr>
          </m:sSubPr>
          <m:e>
            <m:r>
              <w:rPr>
                <w:rFonts w:ascii="Cambria Math" w:eastAsia="Times New Roman" w:hAnsi="Cambria Math" w:cs="Arial"/>
                <w:sz w:val="20"/>
                <w:szCs w:val="20"/>
                <w:lang w:eastAsia="zh-CN"/>
              </w:rPr>
              <m:t>T</m:t>
            </m:r>
          </m:e>
          <m:sub>
            <m:r>
              <w:rPr>
                <w:rFonts w:ascii="Cambria Math" w:eastAsia="Times New Roman" w:hAnsi="Cambria Math" w:cs="Arial"/>
                <w:sz w:val="20"/>
                <w:szCs w:val="20"/>
                <w:lang w:eastAsia="zh-CN"/>
              </w:rPr>
              <m:t>c</m:t>
            </m:r>
          </m:sub>
        </m:sSub>
      </m:oMath>
      <w:r w:rsidRPr="00CF2D2E">
        <w:rPr>
          <w:rFonts w:ascii="Arial" w:eastAsia="Times New Roman" w:hAnsi="Arial" w:cs="Arial"/>
          <w:iCs/>
          <w:sz w:val="20"/>
          <w:szCs w:val="20"/>
          <w:lang w:eastAsia="zh-CN"/>
        </w:rPr>
        <w:t xml:space="preserve"> suppression and normal state resistivity by dilute non-magnetic impurities is modified in a strongly correlated metal. Even though the renormalized scattering amplitude is strongly enhanced in the forward direction, the most significant effect comes from the suppression of the electron fluid compressibility by '</w:t>
      </w:r>
      <w:proofErr w:type="spellStart"/>
      <w:r w:rsidRPr="00CF2D2E">
        <w:rPr>
          <w:rFonts w:ascii="Arial" w:eastAsia="Times New Roman" w:hAnsi="Arial" w:cs="Arial"/>
          <w:iCs/>
          <w:sz w:val="20"/>
          <w:szCs w:val="20"/>
          <w:lang w:eastAsia="zh-CN"/>
        </w:rPr>
        <w:t>Mottness</w:t>
      </w:r>
      <w:proofErr w:type="spellEnd"/>
      <w:r w:rsidRPr="00CF2D2E">
        <w:rPr>
          <w:rFonts w:ascii="Arial" w:eastAsia="Times New Roman" w:hAnsi="Arial" w:cs="Arial"/>
          <w:iCs/>
          <w:sz w:val="20"/>
          <w:szCs w:val="20"/>
          <w:lang w:eastAsia="zh-CN"/>
        </w:rPr>
        <w:t>', which is effective even relatively far from the Mott insulating state.</w:t>
      </w:r>
      <w:r w:rsidRPr="00CF2D2E">
        <w:rPr>
          <w:rFonts w:ascii="Arial" w:eastAsia="Times New Roman" w:hAnsi="Arial" w:cs="Arial"/>
          <w:sz w:val="20"/>
          <w:szCs w:val="20"/>
          <w:lang w:eastAsia="zh-CN"/>
        </w:rPr>
        <w:t xml:space="preserve"> Given its simplicity, we suggest that this phenomenon is generic to other systems close to Mott localization.</w:t>
      </w:r>
    </w:p>
    <w:p w:rsidR="00E24691" w:rsidRPr="00CF2D2E" w:rsidRDefault="00E24691" w:rsidP="00E24691">
      <w:pPr>
        <w:tabs>
          <w:tab w:val="left" w:pos="360"/>
        </w:tabs>
        <w:jc w:val="both"/>
        <w:rPr>
          <w:rFonts w:ascii="Arial" w:hAnsi="Arial" w:cs="Arial"/>
          <w:b/>
          <w:sz w:val="20"/>
          <w:szCs w:val="20"/>
        </w:rPr>
      </w:pPr>
      <w:r w:rsidRPr="00CF2D2E">
        <w:rPr>
          <w:rFonts w:ascii="Arial" w:hAnsi="Arial" w:cs="Arial"/>
          <w:b/>
          <w:sz w:val="20"/>
          <w:szCs w:val="20"/>
        </w:rPr>
        <w:t xml:space="preserve">Acknowledgements </w:t>
      </w:r>
    </w:p>
    <w:p w:rsidR="00E24691" w:rsidRPr="00CF2D2E" w:rsidRDefault="00E24691" w:rsidP="00CF2D2E">
      <w:pPr>
        <w:ind w:firstLine="360"/>
        <w:jc w:val="both"/>
        <w:rPr>
          <w:rFonts w:ascii="Arial" w:eastAsia="Times New Roman" w:hAnsi="Arial" w:cs="Arial"/>
          <w:sz w:val="20"/>
          <w:szCs w:val="20"/>
          <w:lang w:eastAsia="zh-CN"/>
        </w:rPr>
      </w:pPr>
      <w:r w:rsidRPr="00CF2D2E">
        <w:rPr>
          <w:rFonts w:ascii="Arial" w:eastAsia="Times New Roman" w:hAnsi="Arial" w:cs="Arial"/>
          <w:sz w:val="20"/>
          <w:szCs w:val="20"/>
          <w:lang w:eastAsia="zh-CN"/>
        </w:rPr>
        <w:t xml:space="preserve">We acknowledge support by </w:t>
      </w:r>
      <w:proofErr w:type="spellStart"/>
      <w:r w:rsidRPr="00CF2D2E">
        <w:rPr>
          <w:rFonts w:ascii="Arial" w:eastAsia="Times New Roman" w:hAnsi="Arial" w:cs="Arial"/>
          <w:sz w:val="20"/>
          <w:szCs w:val="20"/>
          <w:lang w:eastAsia="zh-CN"/>
        </w:rPr>
        <w:t>CNPq</w:t>
      </w:r>
      <w:proofErr w:type="spellEnd"/>
      <w:r w:rsidRPr="00CF2D2E">
        <w:rPr>
          <w:rFonts w:ascii="Arial" w:eastAsia="Times New Roman" w:hAnsi="Arial" w:cs="Arial"/>
          <w:sz w:val="20"/>
          <w:szCs w:val="20"/>
          <w:lang w:eastAsia="zh-CN"/>
        </w:rPr>
        <w:t xml:space="preserve"> (Brazil) through Grants No. 304311/2010-3 and No. 590093/2011-8 (E.M.) and NSF (USA) through Grants No. </w:t>
      </w:r>
      <w:proofErr w:type="gramStart"/>
      <w:r w:rsidRPr="00CF2D2E">
        <w:rPr>
          <w:rFonts w:ascii="Arial" w:eastAsia="Times New Roman" w:hAnsi="Arial" w:cs="Arial"/>
          <w:sz w:val="20"/>
          <w:szCs w:val="20"/>
          <w:lang w:eastAsia="zh-CN"/>
        </w:rPr>
        <w:t>DMR-1005751 and DMR-1410132 (S.T. and V.D.)</w:t>
      </w:r>
      <w:proofErr w:type="gramEnd"/>
    </w:p>
    <w:p w:rsidR="00E24691" w:rsidRPr="00CF2D2E" w:rsidRDefault="00E24691" w:rsidP="00E24691">
      <w:pPr>
        <w:tabs>
          <w:tab w:val="left" w:pos="360"/>
        </w:tabs>
        <w:jc w:val="both"/>
        <w:rPr>
          <w:rFonts w:ascii="Arial" w:eastAsia="Times New Roman" w:hAnsi="Arial" w:cs="Arial"/>
          <w:b/>
          <w:sz w:val="20"/>
          <w:szCs w:val="20"/>
          <w:lang w:eastAsia="zh-CN"/>
        </w:rPr>
      </w:pPr>
      <w:r w:rsidRPr="00CF2D2E">
        <w:rPr>
          <w:rFonts w:ascii="Arial" w:hAnsi="Arial" w:cs="Arial"/>
          <w:b/>
          <w:sz w:val="20"/>
          <w:szCs w:val="20"/>
        </w:rPr>
        <w:t>R</w:t>
      </w:r>
      <w:r w:rsidRPr="00CF2D2E">
        <w:rPr>
          <w:rFonts w:ascii="Arial" w:eastAsia="Times New Roman" w:hAnsi="Arial" w:cs="Arial" w:hint="eastAsia"/>
          <w:b/>
          <w:sz w:val="20"/>
          <w:szCs w:val="20"/>
          <w:lang w:eastAsia="zh-CN"/>
        </w:rPr>
        <w:t>eference</w:t>
      </w:r>
    </w:p>
    <w:p w:rsidR="00F908F6" w:rsidRPr="00E24691" w:rsidRDefault="00E24691" w:rsidP="00CF2D2E">
      <w:pPr>
        <w:tabs>
          <w:tab w:val="left" w:pos="360"/>
        </w:tabs>
        <w:jc w:val="both"/>
      </w:pPr>
      <w:r w:rsidRPr="00CF2D2E">
        <w:rPr>
          <w:rFonts w:ascii="Arial" w:eastAsia="Times New Roman" w:hAnsi="Arial" w:cs="Arial" w:hint="eastAsia"/>
          <w:sz w:val="20"/>
          <w:szCs w:val="20"/>
          <w:lang w:eastAsia="zh-CN"/>
        </w:rPr>
        <w:t xml:space="preserve">[1] </w:t>
      </w:r>
      <w:proofErr w:type="gramStart"/>
      <w:r w:rsidRPr="00CF2D2E">
        <w:rPr>
          <w:rFonts w:ascii="Arial" w:eastAsia="Times New Roman" w:hAnsi="Arial" w:cs="Arial"/>
          <w:sz w:val="20"/>
          <w:szCs w:val="20"/>
          <w:lang w:eastAsia="zh-CN"/>
        </w:rPr>
        <w:t>arXiv:</w:t>
      </w:r>
      <w:proofErr w:type="gramEnd"/>
      <w:r w:rsidRPr="00CF2D2E">
        <w:rPr>
          <w:rFonts w:ascii="Arial" w:eastAsia="Times New Roman" w:hAnsi="Arial" w:cs="Arial"/>
          <w:sz w:val="20"/>
          <w:szCs w:val="20"/>
          <w:lang w:eastAsia="zh-CN"/>
        </w:rPr>
        <w:t>1510.08152</w:t>
      </w:r>
      <w:r w:rsidRPr="00CF2D2E">
        <w:rPr>
          <w:rFonts w:ascii="Arial" w:eastAsia="Times New Roman" w:hAnsi="Arial" w:cs="Arial" w:hint="eastAsia"/>
          <w:sz w:val="20"/>
          <w:szCs w:val="20"/>
          <w:lang w:eastAsia="zh-CN"/>
        </w:rPr>
        <w:t>, submitted to PRL</w:t>
      </w:r>
    </w:p>
    <w:sectPr w:rsidR="00F908F6" w:rsidRPr="00E24691" w:rsidSect="00450C97">
      <w:headerReference w:type="even" r:id="rId13"/>
      <w:headerReference w:type="default" r:id="rId14"/>
      <w:footerReference w:type="even" r:id="rId15"/>
      <w:footerReference w:type="default" r:id="rId16"/>
      <w:headerReference w:type="first" r:id="rId17"/>
      <w:footerReference w:type="first" r:id="rId18"/>
      <w:pgSz w:w="12240" w:h="15840" w:code="1"/>
      <w:pgMar w:top="1155" w:right="1080" w:bottom="1080" w:left="1080" w:header="18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30E" w:rsidRDefault="000B530E">
      <w:r>
        <w:separator/>
      </w:r>
    </w:p>
  </w:endnote>
  <w:endnote w:type="continuationSeparator" w:id="0">
    <w:p w:rsidR="000B530E" w:rsidRDefault="000B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84" w:rsidRDefault="008A1D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84" w:rsidRDefault="008A1D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84" w:rsidRDefault="008A1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30E" w:rsidRDefault="000B530E">
      <w:r>
        <w:separator/>
      </w:r>
    </w:p>
  </w:footnote>
  <w:footnote w:type="continuationSeparator" w:id="0">
    <w:p w:rsidR="000B530E" w:rsidRDefault="000B5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84" w:rsidRDefault="008A1D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C6" w:rsidRDefault="00E24691" w:rsidP="00F974C6">
    <w:pPr>
      <w:pStyle w:val="Header"/>
      <w:rPr>
        <w:rStyle w:val="BookTitle1"/>
        <w:rFonts w:ascii="Arial" w:hAnsi="Arial" w:cs="Arial"/>
        <w:color w:val="1F497D"/>
        <w:sz w:val="22"/>
        <w:szCs w:val="22"/>
      </w:rPr>
    </w:pP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1200150</wp:posOffset>
              </wp:positionH>
              <wp:positionV relativeFrom="paragraph">
                <wp:posOffset>66040</wp:posOffset>
              </wp:positionV>
              <wp:extent cx="3876675" cy="429260"/>
              <wp:effectExtent l="0" t="0" r="952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583" w:rsidRPr="00306550" w:rsidRDefault="001E6BF4"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sidR="00A55035">
                            <w:rPr>
                              <w:rFonts w:ascii="Arial" w:hAnsi="Arial" w:cs="Arial"/>
                              <w:b/>
                              <w:color w:val="17365D"/>
                              <w:sz w:val="22"/>
                              <w:szCs w:val="22"/>
                            </w:rPr>
                            <w:t>LABORATORY</w:t>
                          </w:r>
                        </w:p>
                        <w:p w:rsidR="00F974C6" w:rsidRPr="00306550" w:rsidRDefault="001E6BF4" w:rsidP="001E6BF4">
                          <w:pPr>
                            <w:jc w:val="center"/>
                            <w:rPr>
                              <w:rFonts w:ascii="Arial" w:hAnsi="Arial" w:cs="Arial"/>
                              <w:b/>
                              <w:color w:val="17365D"/>
                              <w:sz w:val="22"/>
                              <w:szCs w:val="22"/>
                            </w:rPr>
                          </w:pPr>
                          <w:r w:rsidRPr="00306550">
                            <w:rPr>
                              <w:rFonts w:ascii="Arial" w:hAnsi="Arial" w:cs="Arial"/>
                              <w:b/>
                              <w:color w:val="17365D"/>
                              <w:sz w:val="22"/>
                              <w:szCs w:val="22"/>
                            </w:rPr>
                            <w:t>201</w:t>
                          </w:r>
                          <w:r w:rsidR="008A1D84">
                            <w:rPr>
                              <w:rFonts w:ascii="Arial" w:hAnsi="Arial" w:cs="Arial"/>
                              <w:b/>
                              <w:color w:val="17365D"/>
                              <w:sz w:val="22"/>
                              <w:szCs w:val="22"/>
                            </w:rPr>
                            <w:t xml:space="preserve">5 </w:t>
                          </w:r>
                          <w:r w:rsidR="00F974C6" w:rsidRPr="00306550">
                            <w:rPr>
                              <w:rFonts w:ascii="Arial" w:hAnsi="Arial" w:cs="Arial"/>
                              <w:b/>
                              <w:color w:val="17365D"/>
                              <w:sz w:val="22"/>
                              <w:szCs w:val="22"/>
                            </w:rPr>
                            <w:t>ANNUAL RESEARCH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5pt;margin-top:5.2pt;width:305.25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j01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" stroked="f">
              <v:textbox>
                <w:txbxContent>
                  <w:p w:rsidR="00F95583" w:rsidRPr="00306550" w:rsidRDefault="001E6BF4"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sidR="00A55035">
                      <w:rPr>
                        <w:rFonts w:ascii="Arial" w:hAnsi="Arial" w:cs="Arial"/>
                        <w:b/>
                        <w:color w:val="17365D"/>
                        <w:sz w:val="22"/>
                        <w:szCs w:val="22"/>
                      </w:rPr>
                      <w:t>LABORATORY</w:t>
                    </w:r>
                  </w:p>
                  <w:p w:rsidR="00F974C6" w:rsidRPr="00306550" w:rsidRDefault="001E6BF4" w:rsidP="001E6BF4">
                    <w:pPr>
                      <w:jc w:val="center"/>
                      <w:rPr>
                        <w:rFonts w:ascii="Arial" w:hAnsi="Arial" w:cs="Arial"/>
                        <w:b/>
                        <w:color w:val="17365D"/>
                        <w:sz w:val="22"/>
                        <w:szCs w:val="22"/>
                      </w:rPr>
                    </w:pPr>
                    <w:r w:rsidRPr="00306550">
                      <w:rPr>
                        <w:rFonts w:ascii="Arial" w:hAnsi="Arial" w:cs="Arial"/>
                        <w:b/>
                        <w:color w:val="17365D"/>
                        <w:sz w:val="22"/>
                        <w:szCs w:val="22"/>
                      </w:rPr>
                      <w:t>201</w:t>
                    </w:r>
                    <w:r w:rsidR="008A1D84">
                      <w:rPr>
                        <w:rFonts w:ascii="Arial" w:hAnsi="Arial" w:cs="Arial"/>
                        <w:b/>
                        <w:color w:val="17365D"/>
                        <w:sz w:val="22"/>
                        <w:szCs w:val="22"/>
                      </w:rPr>
                      <w:t xml:space="preserve">5 </w:t>
                    </w:r>
                    <w:r w:rsidR="00F974C6" w:rsidRPr="00306550">
                      <w:rPr>
                        <w:rFonts w:ascii="Arial" w:hAnsi="Arial" w:cs="Arial"/>
                        <w:b/>
                        <w:color w:val="17365D"/>
                        <w:sz w:val="22"/>
                        <w:szCs w:val="22"/>
                      </w:rPr>
                      <w:t>ANNUAL RESEARCH REPORT</w:t>
                    </w:r>
                  </w:p>
                </w:txbxContent>
              </v:textbox>
            </v:shape>
          </w:pict>
        </mc:Fallback>
      </mc:AlternateContent>
    </w:r>
    <w:r>
      <w:rPr>
        <w:rFonts w:ascii="Arial" w:hAnsi="Arial" w:cs="Arial"/>
        <w:b/>
        <w:smallCaps/>
        <w:noProof/>
        <w:color w:val="1F497D"/>
        <w:spacing w:val="5"/>
        <w:sz w:val="22"/>
        <w:szCs w:val="22"/>
        <w:lang w:eastAsia="en-US"/>
      </w:rPr>
      <w:drawing>
        <wp:inline distT="0" distB="0" distL="0" distR="0">
          <wp:extent cx="516255" cy="626745"/>
          <wp:effectExtent l="0" t="0" r="0" b="1905"/>
          <wp:docPr id="2" name="Picture 212" descr="JustM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JustM_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 cy="62674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84" w:rsidRDefault="008A1D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60E5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18821DE"/>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2">
    <w:nsid w:val="089A391B"/>
    <w:multiLevelType w:val="hybridMultilevel"/>
    <w:tmpl w:val="FE2A3B5A"/>
    <w:lvl w:ilvl="0" w:tplc="A9A0EA2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9B46E9"/>
    <w:multiLevelType w:val="hybridMultilevel"/>
    <w:tmpl w:val="850C7C04"/>
    <w:lvl w:ilvl="0" w:tplc="3800B75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2D1F53"/>
    <w:multiLevelType w:val="hybridMultilevel"/>
    <w:tmpl w:val="B52A9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FA1EEE"/>
    <w:multiLevelType w:val="multilevel"/>
    <w:tmpl w:val="838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3A0CEE"/>
    <w:multiLevelType w:val="hybridMultilevel"/>
    <w:tmpl w:val="4FA85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19"/>
    <w:rsid w:val="00020C55"/>
    <w:rsid w:val="000558AC"/>
    <w:rsid w:val="000736B9"/>
    <w:rsid w:val="00085670"/>
    <w:rsid w:val="000A1716"/>
    <w:rsid w:val="000A59A8"/>
    <w:rsid w:val="000B530E"/>
    <w:rsid w:val="000E1D4F"/>
    <w:rsid w:val="00104A4C"/>
    <w:rsid w:val="00113D92"/>
    <w:rsid w:val="00120180"/>
    <w:rsid w:val="0014131B"/>
    <w:rsid w:val="00141FE9"/>
    <w:rsid w:val="00146A5E"/>
    <w:rsid w:val="00155AD2"/>
    <w:rsid w:val="00167606"/>
    <w:rsid w:val="001836FA"/>
    <w:rsid w:val="0018419E"/>
    <w:rsid w:val="0018697C"/>
    <w:rsid w:val="00187023"/>
    <w:rsid w:val="001D59E4"/>
    <w:rsid w:val="001E526E"/>
    <w:rsid w:val="001E5ECF"/>
    <w:rsid w:val="001E6BF4"/>
    <w:rsid w:val="00231335"/>
    <w:rsid w:val="00233F11"/>
    <w:rsid w:val="00241739"/>
    <w:rsid w:val="002426D5"/>
    <w:rsid w:val="002524EE"/>
    <w:rsid w:val="00265A15"/>
    <w:rsid w:val="00287E46"/>
    <w:rsid w:val="00290223"/>
    <w:rsid w:val="002C7675"/>
    <w:rsid w:val="00306550"/>
    <w:rsid w:val="00312C04"/>
    <w:rsid w:val="00334CEB"/>
    <w:rsid w:val="003560D2"/>
    <w:rsid w:val="00363C8F"/>
    <w:rsid w:val="00376D2C"/>
    <w:rsid w:val="00393065"/>
    <w:rsid w:val="003A1FF5"/>
    <w:rsid w:val="003C6493"/>
    <w:rsid w:val="003E2F8E"/>
    <w:rsid w:val="003F55A7"/>
    <w:rsid w:val="003F6E7E"/>
    <w:rsid w:val="00410D2C"/>
    <w:rsid w:val="00420894"/>
    <w:rsid w:val="00450C97"/>
    <w:rsid w:val="004660AA"/>
    <w:rsid w:val="0048542C"/>
    <w:rsid w:val="00486FF9"/>
    <w:rsid w:val="0049187D"/>
    <w:rsid w:val="00491C5D"/>
    <w:rsid w:val="004A227C"/>
    <w:rsid w:val="004E4A1D"/>
    <w:rsid w:val="004F160B"/>
    <w:rsid w:val="005034C0"/>
    <w:rsid w:val="00511F7E"/>
    <w:rsid w:val="005173CE"/>
    <w:rsid w:val="0053142A"/>
    <w:rsid w:val="005452B9"/>
    <w:rsid w:val="00583BC3"/>
    <w:rsid w:val="005A1B84"/>
    <w:rsid w:val="005C4422"/>
    <w:rsid w:val="005C4667"/>
    <w:rsid w:val="005C5648"/>
    <w:rsid w:val="00625028"/>
    <w:rsid w:val="00627F7D"/>
    <w:rsid w:val="006612DC"/>
    <w:rsid w:val="00672D41"/>
    <w:rsid w:val="006B3824"/>
    <w:rsid w:val="006C4440"/>
    <w:rsid w:val="006D745E"/>
    <w:rsid w:val="006E2CE0"/>
    <w:rsid w:val="006E4A9F"/>
    <w:rsid w:val="007207FF"/>
    <w:rsid w:val="00731C19"/>
    <w:rsid w:val="00734E94"/>
    <w:rsid w:val="00764FB5"/>
    <w:rsid w:val="00774A49"/>
    <w:rsid w:val="007C0813"/>
    <w:rsid w:val="007D3105"/>
    <w:rsid w:val="007E2F28"/>
    <w:rsid w:val="00862CB5"/>
    <w:rsid w:val="00883638"/>
    <w:rsid w:val="008A1D84"/>
    <w:rsid w:val="008B05B8"/>
    <w:rsid w:val="008C5788"/>
    <w:rsid w:val="008E5BC5"/>
    <w:rsid w:val="008E5C85"/>
    <w:rsid w:val="008F35CC"/>
    <w:rsid w:val="008F6083"/>
    <w:rsid w:val="00940542"/>
    <w:rsid w:val="009648AC"/>
    <w:rsid w:val="009A39F6"/>
    <w:rsid w:val="009A3F73"/>
    <w:rsid w:val="009B41B2"/>
    <w:rsid w:val="009C318D"/>
    <w:rsid w:val="009C3DF0"/>
    <w:rsid w:val="009C7F31"/>
    <w:rsid w:val="009D39A4"/>
    <w:rsid w:val="009E4F1E"/>
    <w:rsid w:val="00A1227A"/>
    <w:rsid w:val="00A55035"/>
    <w:rsid w:val="00A758E6"/>
    <w:rsid w:val="00A94FC4"/>
    <w:rsid w:val="00AC297F"/>
    <w:rsid w:val="00AC4AFE"/>
    <w:rsid w:val="00AD3CDD"/>
    <w:rsid w:val="00AE142B"/>
    <w:rsid w:val="00AF7C63"/>
    <w:rsid w:val="00B00CDB"/>
    <w:rsid w:val="00B25D4D"/>
    <w:rsid w:val="00B45112"/>
    <w:rsid w:val="00B5585D"/>
    <w:rsid w:val="00B71405"/>
    <w:rsid w:val="00B75DC9"/>
    <w:rsid w:val="00B94321"/>
    <w:rsid w:val="00B95FCB"/>
    <w:rsid w:val="00B96080"/>
    <w:rsid w:val="00BA00BE"/>
    <w:rsid w:val="00BA7096"/>
    <w:rsid w:val="00BE2257"/>
    <w:rsid w:val="00C02989"/>
    <w:rsid w:val="00C076C7"/>
    <w:rsid w:val="00C13313"/>
    <w:rsid w:val="00C75A17"/>
    <w:rsid w:val="00C81666"/>
    <w:rsid w:val="00C83434"/>
    <w:rsid w:val="00C83EAA"/>
    <w:rsid w:val="00C93F0D"/>
    <w:rsid w:val="00CA6625"/>
    <w:rsid w:val="00CB0819"/>
    <w:rsid w:val="00CB1A7C"/>
    <w:rsid w:val="00CB4058"/>
    <w:rsid w:val="00CC5B40"/>
    <w:rsid w:val="00CE3F90"/>
    <w:rsid w:val="00CF2D2E"/>
    <w:rsid w:val="00D01F6B"/>
    <w:rsid w:val="00D0313F"/>
    <w:rsid w:val="00D07879"/>
    <w:rsid w:val="00D1756D"/>
    <w:rsid w:val="00D65CBB"/>
    <w:rsid w:val="00D67B56"/>
    <w:rsid w:val="00D851F6"/>
    <w:rsid w:val="00DD44E5"/>
    <w:rsid w:val="00DE3216"/>
    <w:rsid w:val="00E04B24"/>
    <w:rsid w:val="00E07ED9"/>
    <w:rsid w:val="00E24691"/>
    <w:rsid w:val="00E25473"/>
    <w:rsid w:val="00E411D1"/>
    <w:rsid w:val="00E43BB4"/>
    <w:rsid w:val="00E5095B"/>
    <w:rsid w:val="00E57E61"/>
    <w:rsid w:val="00E60509"/>
    <w:rsid w:val="00EA1E33"/>
    <w:rsid w:val="00EB489A"/>
    <w:rsid w:val="00EB515D"/>
    <w:rsid w:val="00F23F2F"/>
    <w:rsid w:val="00F31351"/>
    <w:rsid w:val="00F31B06"/>
    <w:rsid w:val="00F43581"/>
    <w:rsid w:val="00F4530F"/>
    <w:rsid w:val="00F45B22"/>
    <w:rsid w:val="00F52E02"/>
    <w:rsid w:val="00F54466"/>
    <w:rsid w:val="00F8198A"/>
    <w:rsid w:val="00F908F6"/>
    <w:rsid w:val="00F935F1"/>
    <w:rsid w:val="00F95583"/>
    <w:rsid w:val="00F974C6"/>
    <w:rsid w:val="00FB4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 w:type="paragraph" w:styleId="Caption">
    <w:name w:val="caption"/>
    <w:basedOn w:val="Normal"/>
    <w:next w:val="Normal"/>
    <w:qFormat/>
    <w:rsid w:val="00E2469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 w:type="paragraph" w:styleId="Caption">
    <w:name w:val="caption"/>
    <w:basedOn w:val="Normal"/>
    <w:next w:val="Normal"/>
    <w:qFormat/>
    <w:rsid w:val="00E246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995074">
      <w:bodyDiv w:val="1"/>
      <w:marLeft w:val="0"/>
      <w:marRight w:val="0"/>
      <w:marTop w:val="0"/>
      <w:marBottom w:val="0"/>
      <w:divBdr>
        <w:top w:val="none" w:sz="0" w:space="0" w:color="auto"/>
        <w:left w:val="none" w:sz="0" w:space="0" w:color="auto"/>
        <w:bottom w:val="none" w:sz="0" w:space="0" w:color="auto"/>
        <w:right w:val="none" w:sz="0" w:space="0" w:color="auto"/>
      </w:divBdr>
      <w:divsChild>
        <w:div w:id="183373938">
          <w:marLeft w:val="0"/>
          <w:marRight w:val="0"/>
          <w:marTop w:val="0"/>
          <w:marBottom w:val="0"/>
          <w:divBdr>
            <w:top w:val="none" w:sz="0" w:space="0" w:color="auto"/>
            <w:left w:val="none" w:sz="0" w:space="0" w:color="auto"/>
            <w:bottom w:val="none" w:sz="0" w:space="0" w:color="auto"/>
            <w:right w:val="none" w:sz="0" w:space="0" w:color="auto"/>
          </w:divBdr>
          <w:divsChild>
            <w:div w:id="419758377">
              <w:marLeft w:val="0"/>
              <w:marRight w:val="0"/>
              <w:marTop w:val="0"/>
              <w:marBottom w:val="0"/>
              <w:divBdr>
                <w:top w:val="none" w:sz="0" w:space="0" w:color="auto"/>
                <w:left w:val="none" w:sz="0" w:space="0" w:color="auto"/>
                <w:bottom w:val="none" w:sz="0" w:space="0" w:color="auto"/>
                <w:right w:val="none" w:sz="0" w:space="0" w:color="auto"/>
              </w:divBdr>
              <w:divsChild>
                <w:div w:id="2037852817">
                  <w:marLeft w:val="0"/>
                  <w:marRight w:val="0"/>
                  <w:marTop w:val="0"/>
                  <w:marBottom w:val="0"/>
                  <w:divBdr>
                    <w:top w:val="none" w:sz="0" w:space="0" w:color="auto"/>
                    <w:left w:val="none" w:sz="0" w:space="0" w:color="auto"/>
                    <w:bottom w:val="none" w:sz="0" w:space="0" w:color="auto"/>
                    <w:right w:val="none" w:sz="0" w:space="0" w:color="auto"/>
                  </w:divBdr>
                  <w:divsChild>
                    <w:div w:id="1667439851">
                      <w:marLeft w:val="0"/>
                      <w:marRight w:val="0"/>
                      <w:marTop w:val="0"/>
                      <w:marBottom w:val="0"/>
                      <w:divBdr>
                        <w:top w:val="none" w:sz="0" w:space="0" w:color="auto"/>
                        <w:left w:val="none" w:sz="0" w:space="0" w:color="auto"/>
                        <w:bottom w:val="none" w:sz="0" w:space="0" w:color="auto"/>
                        <w:right w:val="none" w:sz="0" w:space="0" w:color="auto"/>
                      </w:divBdr>
                      <w:divsChild>
                        <w:div w:id="650132720">
                          <w:marLeft w:val="0"/>
                          <w:marRight w:val="0"/>
                          <w:marTop w:val="0"/>
                          <w:marBottom w:val="0"/>
                          <w:divBdr>
                            <w:top w:val="none" w:sz="0" w:space="0" w:color="auto"/>
                            <w:left w:val="none" w:sz="0" w:space="0" w:color="auto"/>
                            <w:bottom w:val="none" w:sz="0" w:space="0" w:color="auto"/>
                            <w:right w:val="none" w:sz="0" w:space="0" w:color="auto"/>
                          </w:divBdr>
                          <w:divsChild>
                            <w:div w:id="873032043">
                              <w:marLeft w:val="0"/>
                              <w:marRight w:val="0"/>
                              <w:marTop w:val="0"/>
                              <w:marBottom w:val="0"/>
                              <w:divBdr>
                                <w:top w:val="none" w:sz="0" w:space="0" w:color="auto"/>
                                <w:left w:val="none" w:sz="0" w:space="0" w:color="auto"/>
                                <w:bottom w:val="none" w:sz="0" w:space="0" w:color="auto"/>
                                <w:right w:val="none" w:sz="0" w:space="0" w:color="auto"/>
                              </w:divBdr>
                              <w:divsChild>
                                <w:div w:id="1388069214">
                                  <w:marLeft w:val="0"/>
                                  <w:marRight w:val="0"/>
                                  <w:marTop w:val="0"/>
                                  <w:marBottom w:val="0"/>
                                  <w:divBdr>
                                    <w:top w:val="none" w:sz="0" w:space="0" w:color="auto"/>
                                    <w:left w:val="none" w:sz="0" w:space="0" w:color="auto"/>
                                    <w:bottom w:val="none" w:sz="0" w:space="0" w:color="auto"/>
                                    <w:right w:val="none" w:sz="0" w:space="0" w:color="auto"/>
                                  </w:divBdr>
                                  <w:divsChild>
                                    <w:div w:id="1141314907">
                                      <w:marLeft w:val="0"/>
                                      <w:marRight w:val="0"/>
                                      <w:marTop w:val="0"/>
                                      <w:marBottom w:val="0"/>
                                      <w:divBdr>
                                        <w:top w:val="none" w:sz="0" w:space="0" w:color="auto"/>
                                        <w:left w:val="none" w:sz="0" w:space="0" w:color="auto"/>
                                        <w:bottom w:val="none" w:sz="0" w:space="0" w:color="auto"/>
                                        <w:right w:val="none" w:sz="0" w:space="0" w:color="auto"/>
                                      </w:divBdr>
                                      <w:divsChild>
                                        <w:div w:id="1833569609">
                                          <w:marLeft w:val="0"/>
                                          <w:marRight w:val="0"/>
                                          <w:marTop w:val="0"/>
                                          <w:marBottom w:val="0"/>
                                          <w:divBdr>
                                            <w:top w:val="none" w:sz="0" w:space="0" w:color="auto"/>
                                            <w:left w:val="none" w:sz="0" w:space="0" w:color="auto"/>
                                            <w:bottom w:val="none" w:sz="0" w:space="0" w:color="auto"/>
                                            <w:right w:val="none" w:sz="0" w:space="0" w:color="auto"/>
                                          </w:divBdr>
                                          <w:divsChild>
                                            <w:div w:id="1733624698">
                                              <w:marLeft w:val="0"/>
                                              <w:marRight w:val="0"/>
                                              <w:marTop w:val="0"/>
                                              <w:marBottom w:val="0"/>
                                              <w:divBdr>
                                                <w:top w:val="none" w:sz="0" w:space="0" w:color="auto"/>
                                                <w:left w:val="none" w:sz="0" w:space="0" w:color="auto"/>
                                                <w:bottom w:val="none" w:sz="0" w:space="0" w:color="auto"/>
                                                <w:right w:val="none" w:sz="0" w:space="0" w:color="auto"/>
                                              </w:divBdr>
                                              <w:divsChild>
                                                <w:div w:id="292250960">
                                                  <w:marLeft w:val="0"/>
                                                  <w:marRight w:val="0"/>
                                                  <w:marTop w:val="0"/>
                                                  <w:marBottom w:val="0"/>
                                                  <w:divBdr>
                                                    <w:top w:val="none" w:sz="0" w:space="0" w:color="auto"/>
                                                    <w:left w:val="none" w:sz="0" w:space="0" w:color="auto"/>
                                                    <w:bottom w:val="none" w:sz="0" w:space="0" w:color="auto"/>
                                                    <w:right w:val="none" w:sz="0" w:space="0" w:color="auto"/>
                                                  </w:divBdr>
                                                  <w:divsChild>
                                                    <w:div w:id="980111403">
                                                      <w:marLeft w:val="0"/>
                                                      <w:marRight w:val="0"/>
                                                      <w:marTop w:val="0"/>
                                                      <w:marBottom w:val="0"/>
                                                      <w:divBdr>
                                                        <w:top w:val="none" w:sz="0" w:space="0" w:color="auto"/>
                                                        <w:left w:val="none" w:sz="0" w:space="0" w:color="auto"/>
                                                        <w:bottom w:val="none" w:sz="0" w:space="0" w:color="auto"/>
                                                        <w:right w:val="none" w:sz="0" w:space="0" w:color="auto"/>
                                                      </w:divBdr>
                                                      <w:divsChild>
                                                        <w:div w:id="2022319111">
                                                          <w:marLeft w:val="0"/>
                                                          <w:marRight w:val="0"/>
                                                          <w:marTop w:val="0"/>
                                                          <w:marBottom w:val="0"/>
                                                          <w:divBdr>
                                                            <w:top w:val="none" w:sz="0" w:space="0" w:color="auto"/>
                                                            <w:left w:val="none" w:sz="0" w:space="0" w:color="auto"/>
                                                            <w:bottom w:val="none" w:sz="0" w:space="0" w:color="auto"/>
                                                            <w:right w:val="none" w:sz="0" w:space="0" w:color="auto"/>
                                                          </w:divBdr>
                                                          <w:divsChild>
                                                            <w:div w:id="15264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th\AppData\Local\Microsoft\Windows\Temporary%20Internet%20Files\Content.Outlook\IIDJZ9OD\141015%202014-Research%20Repor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C644643969264883FBBDDE284BCE88" ma:contentTypeVersion="0" ma:contentTypeDescription="Create a new document." ma:contentTypeScope="" ma:versionID="f9f072c2bf7ffe07f2236eeac41fd8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EE1EEB-62AE-414C-B5AC-F1C7D9F09E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4EB0EC-C746-4224-8CAA-A2E0A1AB4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38F5D4D-748B-4574-A706-3F69CB5522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141015 2014-Research ReportTemplate</Template>
  <TotalTime>6</TotalTime>
  <Pages>1</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NHMFL Research Report</vt:lpstr>
    </vt:vector>
  </TitlesOfParts>
  <Company>NHMFL</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NHMFL Research Report</dc:title>
  <dc:creator>Anke Toth</dc:creator>
  <cp:lastModifiedBy>Anke Toth</cp:lastModifiedBy>
  <cp:revision>5</cp:revision>
  <cp:lastPrinted>2015-07-15T21:10:00Z</cp:lastPrinted>
  <dcterms:created xsi:type="dcterms:W3CDTF">2016-03-08T15:15:00Z</dcterms:created>
  <dcterms:modified xsi:type="dcterms:W3CDTF">2016-03-08T15:20:00Z</dcterms:modified>
</cp:coreProperties>
</file>