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0780A" w14:textId="43285CFA" w:rsidR="003E2F8E" w:rsidRPr="009C7859" w:rsidRDefault="009C7859" w:rsidP="009C7859">
      <w:pPr>
        <w:tabs>
          <w:tab w:val="left" w:pos="360"/>
        </w:tabs>
        <w:jc w:val="center"/>
        <w:rPr>
          <w:rFonts w:ascii="Arial" w:hAnsi="Arial" w:cs="Arial"/>
          <w:sz w:val="20"/>
          <w:szCs w:val="20"/>
          <w:lang w:val="x-none"/>
        </w:rPr>
      </w:pPr>
      <w:r w:rsidRPr="009C7859">
        <w:rPr>
          <w:rFonts w:ascii="Arial" w:hAnsi="Arial" w:cs="Arial"/>
          <w:b/>
        </w:rPr>
        <w:t xml:space="preserve">Magnetic </w:t>
      </w:r>
      <w:r w:rsidR="00B60163" w:rsidRPr="009C7859">
        <w:rPr>
          <w:rFonts w:ascii="Arial" w:hAnsi="Arial" w:cs="Arial"/>
          <w:b/>
        </w:rPr>
        <w:t xml:space="preserve">Torque Anomaly </w:t>
      </w:r>
      <w:r w:rsidR="00B60163">
        <w:rPr>
          <w:rFonts w:ascii="Arial" w:hAnsi="Arial" w:cs="Arial"/>
          <w:b/>
        </w:rPr>
        <w:t>in the</w:t>
      </w:r>
      <w:r w:rsidR="00B60163" w:rsidRPr="009C7859">
        <w:rPr>
          <w:rFonts w:ascii="Arial" w:hAnsi="Arial" w:cs="Arial"/>
          <w:b/>
        </w:rPr>
        <w:t xml:space="preserve"> Quantum Limit </w:t>
      </w:r>
      <w:r w:rsidR="00B60163">
        <w:rPr>
          <w:rFonts w:ascii="Arial" w:hAnsi="Arial" w:cs="Arial"/>
          <w:b/>
        </w:rPr>
        <w:t>of Weyl Semi-M</w:t>
      </w:r>
      <w:r w:rsidRPr="009C7859">
        <w:rPr>
          <w:rFonts w:ascii="Arial" w:hAnsi="Arial" w:cs="Arial"/>
          <w:b/>
        </w:rPr>
        <w:t>etals</w:t>
      </w:r>
    </w:p>
    <w:p w14:paraId="41DA08A0" w14:textId="1603C3B0" w:rsidR="00A94FC4" w:rsidRDefault="009C7859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Moll, </w:t>
      </w:r>
      <w:r w:rsidR="00B60163">
        <w:rPr>
          <w:rFonts w:ascii="Arial" w:hAnsi="Arial" w:cs="Arial"/>
          <w:sz w:val="20"/>
          <w:szCs w:val="20"/>
        </w:rPr>
        <w:t xml:space="preserve">P.J.W.; </w:t>
      </w:r>
      <w:r>
        <w:rPr>
          <w:rFonts w:ascii="Arial" w:hAnsi="Arial" w:cs="Arial"/>
          <w:sz w:val="20"/>
          <w:szCs w:val="20"/>
        </w:rPr>
        <w:t>Potter</w:t>
      </w:r>
      <w:r w:rsidRPr="009C7859">
        <w:rPr>
          <w:rFonts w:ascii="Arial" w:hAnsi="Arial" w:cs="Arial"/>
          <w:sz w:val="20"/>
          <w:szCs w:val="20"/>
        </w:rPr>
        <w:t xml:space="preserve">, </w:t>
      </w:r>
      <w:r w:rsidR="00B60163">
        <w:rPr>
          <w:rFonts w:ascii="Arial" w:hAnsi="Arial" w:cs="Arial"/>
          <w:sz w:val="20"/>
          <w:szCs w:val="20"/>
        </w:rPr>
        <w:t xml:space="preserve">A.C.; </w:t>
      </w:r>
      <w:r w:rsidRPr="009C7859">
        <w:rPr>
          <w:rFonts w:ascii="Arial" w:hAnsi="Arial" w:cs="Arial"/>
          <w:sz w:val="20"/>
          <w:szCs w:val="20"/>
        </w:rPr>
        <w:t xml:space="preserve">Nair, </w:t>
      </w:r>
      <w:r w:rsidR="00B60163">
        <w:rPr>
          <w:rFonts w:ascii="Arial" w:hAnsi="Arial" w:cs="Arial"/>
          <w:sz w:val="20"/>
          <w:szCs w:val="20"/>
        </w:rPr>
        <w:t xml:space="preserve">N.L.; </w:t>
      </w:r>
      <w:r w:rsidRPr="009C7859">
        <w:rPr>
          <w:rFonts w:ascii="Arial" w:hAnsi="Arial" w:cs="Arial"/>
          <w:sz w:val="20"/>
          <w:szCs w:val="20"/>
        </w:rPr>
        <w:t xml:space="preserve">Ramshaw, </w:t>
      </w:r>
      <w:r w:rsidR="00B60163">
        <w:rPr>
          <w:rFonts w:ascii="Arial" w:hAnsi="Arial" w:cs="Arial"/>
          <w:sz w:val="20"/>
          <w:szCs w:val="20"/>
        </w:rPr>
        <w:t xml:space="preserve">B.J.; </w:t>
      </w:r>
      <w:proofErr w:type="spellStart"/>
      <w:r w:rsidRPr="009C7859">
        <w:rPr>
          <w:rFonts w:ascii="Arial" w:hAnsi="Arial" w:cs="Arial"/>
          <w:sz w:val="20"/>
          <w:szCs w:val="20"/>
        </w:rPr>
        <w:t>Modic</w:t>
      </w:r>
      <w:proofErr w:type="spellEnd"/>
      <w:r w:rsidRPr="009C7859">
        <w:rPr>
          <w:rFonts w:ascii="Arial" w:hAnsi="Arial" w:cs="Arial"/>
          <w:sz w:val="20"/>
          <w:szCs w:val="20"/>
        </w:rPr>
        <w:t xml:space="preserve">, </w:t>
      </w:r>
      <w:r w:rsidR="00B60163">
        <w:rPr>
          <w:rFonts w:ascii="Arial" w:hAnsi="Arial" w:cs="Arial"/>
          <w:sz w:val="20"/>
          <w:szCs w:val="20"/>
        </w:rPr>
        <w:t xml:space="preserve">K.A.; </w:t>
      </w:r>
      <w:r w:rsidRPr="009C7859">
        <w:rPr>
          <w:rFonts w:ascii="Arial" w:hAnsi="Arial" w:cs="Arial"/>
          <w:sz w:val="20"/>
          <w:szCs w:val="20"/>
        </w:rPr>
        <w:t xml:space="preserve">Riggs, </w:t>
      </w:r>
      <w:r w:rsidR="00B60163">
        <w:rPr>
          <w:rFonts w:ascii="Arial" w:hAnsi="Arial" w:cs="Arial"/>
          <w:sz w:val="20"/>
          <w:szCs w:val="20"/>
        </w:rPr>
        <w:t xml:space="preserve">S.; </w:t>
      </w:r>
      <w:r w:rsidRPr="009C7859">
        <w:rPr>
          <w:rFonts w:ascii="Arial" w:hAnsi="Arial" w:cs="Arial"/>
          <w:sz w:val="20"/>
          <w:szCs w:val="20"/>
        </w:rPr>
        <w:t xml:space="preserve">Zeng, </w:t>
      </w:r>
      <w:r w:rsidR="00B60163">
        <w:rPr>
          <w:rFonts w:ascii="Arial" w:hAnsi="Arial" w:cs="Arial"/>
          <w:sz w:val="20"/>
          <w:szCs w:val="20"/>
        </w:rPr>
        <w:t xml:space="preserve">B.; </w:t>
      </w:r>
      <w:proofErr w:type="spellStart"/>
      <w:r w:rsidRPr="009C7859">
        <w:rPr>
          <w:rFonts w:ascii="Arial" w:hAnsi="Arial" w:cs="Arial"/>
          <w:sz w:val="20"/>
          <w:szCs w:val="20"/>
        </w:rPr>
        <w:t>Ghimire</w:t>
      </w:r>
      <w:proofErr w:type="spellEnd"/>
      <w:r w:rsidRPr="009C7859">
        <w:rPr>
          <w:rFonts w:ascii="Arial" w:hAnsi="Arial" w:cs="Arial"/>
          <w:sz w:val="20"/>
          <w:szCs w:val="20"/>
        </w:rPr>
        <w:t>,</w:t>
      </w:r>
      <w:r w:rsidR="00B60163">
        <w:rPr>
          <w:rFonts w:ascii="Arial" w:hAnsi="Arial" w:cs="Arial"/>
          <w:sz w:val="20"/>
          <w:szCs w:val="20"/>
        </w:rPr>
        <w:t xml:space="preserve"> N.J.; </w:t>
      </w:r>
      <w:r w:rsidRPr="009C7859">
        <w:rPr>
          <w:rFonts w:ascii="Arial" w:hAnsi="Arial" w:cs="Arial"/>
          <w:sz w:val="20"/>
          <w:szCs w:val="20"/>
        </w:rPr>
        <w:t xml:space="preserve">Bauer, </w:t>
      </w:r>
      <w:r w:rsidR="00B60163">
        <w:rPr>
          <w:rFonts w:ascii="Arial" w:hAnsi="Arial" w:cs="Arial"/>
          <w:sz w:val="20"/>
          <w:szCs w:val="20"/>
        </w:rPr>
        <w:t xml:space="preserve">E.D.; </w:t>
      </w:r>
      <w:proofErr w:type="spellStart"/>
      <w:r w:rsidRPr="009C7859">
        <w:rPr>
          <w:rFonts w:ascii="Arial" w:hAnsi="Arial" w:cs="Arial"/>
          <w:sz w:val="20"/>
          <w:szCs w:val="20"/>
        </w:rPr>
        <w:t>Kealhofer</w:t>
      </w:r>
      <w:proofErr w:type="spellEnd"/>
      <w:r w:rsidRPr="009C7859">
        <w:rPr>
          <w:rFonts w:ascii="Arial" w:hAnsi="Arial" w:cs="Arial"/>
          <w:sz w:val="20"/>
          <w:szCs w:val="20"/>
        </w:rPr>
        <w:t xml:space="preserve">, </w:t>
      </w:r>
      <w:r w:rsidR="00B60163">
        <w:rPr>
          <w:rFonts w:ascii="Arial" w:hAnsi="Arial" w:cs="Arial"/>
          <w:sz w:val="20"/>
          <w:szCs w:val="20"/>
        </w:rPr>
        <w:t xml:space="preserve">R.; </w:t>
      </w:r>
      <w:r w:rsidRPr="009C7859">
        <w:rPr>
          <w:rFonts w:ascii="Arial" w:hAnsi="Arial" w:cs="Arial"/>
          <w:sz w:val="20"/>
          <w:szCs w:val="20"/>
        </w:rPr>
        <w:t xml:space="preserve">Ronning, </w:t>
      </w:r>
      <w:r w:rsidR="00B60163">
        <w:rPr>
          <w:rFonts w:ascii="Arial" w:hAnsi="Arial" w:cs="Arial"/>
          <w:sz w:val="20"/>
          <w:szCs w:val="20"/>
        </w:rPr>
        <w:t xml:space="preserve">F. </w:t>
      </w:r>
      <w:r w:rsidRPr="009C7859">
        <w:rPr>
          <w:rFonts w:ascii="Arial" w:hAnsi="Arial" w:cs="Arial"/>
          <w:sz w:val="20"/>
          <w:szCs w:val="20"/>
        </w:rPr>
        <w:t xml:space="preserve">and </w:t>
      </w:r>
      <w:proofErr w:type="spellStart"/>
      <w:r w:rsidRPr="009C7859">
        <w:rPr>
          <w:rFonts w:ascii="Arial" w:hAnsi="Arial" w:cs="Arial"/>
          <w:sz w:val="20"/>
          <w:szCs w:val="20"/>
          <w:u w:val="single"/>
        </w:rPr>
        <w:t>Analytis</w:t>
      </w:r>
      <w:proofErr w:type="spellEnd"/>
      <w:r w:rsidR="00B60163">
        <w:rPr>
          <w:rFonts w:ascii="Arial" w:hAnsi="Arial" w:cs="Arial"/>
          <w:sz w:val="20"/>
          <w:szCs w:val="20"/>
          <w:u w:val="single"/>
        </w:rPr>
        <w:t xml:space="preserve">, J.G. </w:t>
      </w:r>
    </w:p>
    <w:p w14:paraId="1B6F4055" w14:textId="77777777" w:rsidR="00B60163" w:rsidRPr="006B3824" w:rsidRDefault="00B60163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6489C434" w14:textId="77777777" w:rsidR="00A94FC4" w:rsidRPr="006B3824" w:rsidRDefault="00A94FC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1438F62E" w14:textId="77777777" w:rsidR="00D3421F" w:rsidRDefault="00A94FC4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  <w:r w:rsidR="002426D5">
        <w:rPr>
          <w:rFonts w:ascii="Arial" w:hAnsi="Arial" w:cs="Arial"/>
          <w:b/>
          <w:sz w:val="20"/>
          <w:szCs w:val="20"/>
        </w:rPr>
        <w:t xml:space="preserve"> </w:t>
      </w:r>
    </w:p>
    <w:p w14:paraId="6848FCC7" w14:textId="77777777" w:rsidR="002F1958" w:rsidRDefault="00D3421F" w:rsidP="008935DA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9C7859" w:rsidRPr="009C7859">
        <w:rPr>
          <w:rFonts w:ascii="Arial" w:hAnsi="Arial" w:cs="Arial"/>
          <w:sz w:val="20"/>
          <w:szCs w:val="20"/>
        </w:rPr>
        <w:t xml:space="preserve">Electrons in materials with linear </w:t>
      </w:r>
      <w:r w:rsidR="009C7859">
        <w:rPr>
          <w:rFonts w:ascii="Arial" w:hAnsi="Arial" w:cs="Arial"/>
          <w:sz w:val="20"/>
          <w:szCs w:val="20"/>
        </w:rPr>
        <w:t xml:space="preserve">electronic </w:t>
      </w:r>
      <w:r w:rsidR="009C7859" w:rsidRPr="009C7859">
        <w:rPr>
          <w:rFonts w:ascii="Arial" w:hAnsi="Arial" w:cs="Arial"/>
          <w:sz w:val="20"/>
          <w:szCs w:val="20"/>
        </w:rPr>
        <w:t>dispersion behave as massless</w:t>
      </w:r>
      <w:r w:rsidR="009C7859">
        <w:rPr>
          <w:rFonts w:ascii="Arial" w:hAnsi="Arial" w:cs="Arial"/>
          <w:sz w:val="20"/>
          <w:szCs w:val="20"/>
        </w:rPr>
        <w:t>, fermionic</w:t>
      </w:r>
      <w:r w:rsidR="009C7859" w:rsidRPr="009C7859">
        <w:rPr>
          <w:rFonts w:ascii="Arial" w:hAnsi="Arial" w:cs="Arial"/>
          <w:sz w:val="20"/>
          <w:szCs w:val="20"/>
        </w:rPr>
        <w:t xml:space="preserve"> Weyl- or Dirac-quasiparticles, and continue to intrigue physicists due to their close resemblance to elusive ultra-relativistic particles as well as their pot</w:t>
      </w:r>
      <w:r w:rsidR="009C7859">
        <w:rPr>
          <w:rFonts w:ascii="Arial" w:hAnsi="Arial" w:cs="Arial"/>
          <w:sz w:val="20"/>
          <w:szCs w:val="20"/>
        </w:rPr>
        <w:t>ential for future electronics</w:t>
      </w:r>
      <w:r w:rsidR="009C7859" w:rsidRPr="009C7859">
        <w:rPr>
          <w:rFonts w:ascii="Arial" w:hAnsi="Arial" w:cs="Arial"/>
          <w:sz w:val="20"/>
          <w:szCs w:val="20"/>
        </w:rPr>
        <w:t>. Yet the experimental signatures of Weyl-fermions are often subtle and indirect, in particular if they coexist with conventional</w:t>
      </w:r>
      <w:r w:rsidR="009C7859">
        <w:rPr>
          <w:rFonts w:ascii="Arial" w:hAnsi="Arial" w:cs="Arial"/>
          <w:sz w:val="20"/>
          <w:szCs w:val="20"/>
        </w:rPr>
        <w:t xml:space="preserve">, massive quasiparticles. However, in high magnetic fields above the </w:t>
      </w:r>
      <w:r w:rsidR="002F1958">
        <w:rPr>
          <w:rFonts w:ascii="Arial" w:hAnsi="Arial" w:cs="Arial"/>
          <w:sz w:val="20"/>
          <w:szCs w:val="20"/>
        </w:rPr>
        <w:t xml:space="preserve">quantum limit, the behavior of topologically trivial and non-trivial electrons is strikingly different due to the additional Berry’s phase in topological semi-metals. We show that an anomaly in the high field torque above the quantum limit in </w:t>
      </w:r>
      <w:proofErr w:type="spellStart"/>
      <w:r w:rsidR="002F1958">
        <w:rPr>
          <w:rFonts w:ascii="Arial" w:hAnsi="Arial" w:cs="Arial"/>
          <w:sz w:val="20"/>
          <w:szCs w:val="20"/>
        </w:rPr>
        <w:t>NbAs</w:t>
      </w:r>
      <w:proofErr w:type="spellEnd"/>
      <w:r w:rsidR="002F1958">
        <w:rPr>
          <w:rFonts w:ascii="Arial" w:hAnsi="Arial" w:cs="Arial"/>
          <w:sz w:val="20"/>
          <w:szCs w:val="20"/>
        </w:rPr>
        <w:t xml:space="preserve"> is a direct result of the presence of Weyl quasiparticles in the system.</w:t>
      </w:r>
    </w:p>
    <w:p w14:paraId="531655BA" w14:textId="77777777" w:rsidR="00E91E20" w:rsidRDefault="00E91E20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1AE3AEF1" w14:textId="77777777"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Experimental</w:t>
      </w:r>
    </w:p>
    <w:p w14:paraId="2BBB1C62" w14:textId="77777777" w:rsidR="00FB4399" w:rsidRDefault="006B3824" w:rsidP="008935DA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F1958">
        <w:rPr>
          <w:rFonts w:ascii="Arial" w:hAnsi="Arial" w:cs="Arial"/>
          <w:sz w:val="20"/>
          <w:szCs w:val="20"/>
        </w:rPr>
        <w:t>We have studied the high field</w:t>
      </w:r>
      <w:r w:rsidR="004C09C3">
        <w:rPr>
          <w:rFonts w:ascii="Arial" w:hAnsi="Arial" w:cs="Arial"/>
          <w:sz w:val="20"/>
          <w:szCs w:val="20"/>
        </w:rPr>
        <w:t xml:space="preserve"> magnetic</w:t>
      </w:r>
      <w:r w:rsidR="002F1958">
        <w:rPr>
          <w:rFonts w:ascii="Arial" w:hAnsi="Arial" w:cs="Arial"/>
          <w:sz w:val="20"/>
          <w:szCs w:val="20"/>
        </w:rPr>
        <w:t xml:space="preserve"> torque above the quantum limit in the Weyl semi-metal </w:t>
      </w:r>
      <w:proofErr w:type="spellStart"/>
      <w:r w:rsidR="002F1958">
        <w:rPr>
          <w:rFonts w:ascii="Arial" w:hAnsi="Arial" w:cs="Arial"/>
          <w:sz w:val="20"/>
          <w:szCs w:val="20"/>
        </w:rPr>
        <w:t>NbAs</w:t>
      </w:r>
      <w:proofErr w:type="spellEnd"/>
      <w:r w:rsidR="002F1958">
        <w:rPr>
          <w:rFonts w:ascii="Arial" w:hAnsi="Arial" w:cs="Arial"/>
          <w:sz w:val="20"/>
          <w:szCs w:val="20"/>
        </w:rPr>
        <w:t xml:space="preserve">, using two different techniques: a) static torque measurements in dc-fields up to 45T using </w:t>
      </w:r>
      <w:proofErr w:type="spellStart"/>
      <w:r w:rsidR="002F1958">
        <w:rPr>
          <w:rFonts w:ascii="Arial" w:hAnsi="Arial" w:cs="Arial"/>
          <w:sz w:val="20"/>
          <w:szCs w:val="20"/>
        </w:rPr>
        <w:t>CuBe</w:t>
      </w:r>
      <w:proofErr w:type="spellEnd"/>
      <w:r w:rsidR="002F1958">
        <w:rPr>
          <w:rFonts w:ascii="Arial" w:hAnsi="Arial" w:cs="Arial"/>
          <w:sz w:val="20"/>
          <w:szCs w:val="20"/>
        </w:rPr>
        <w:t xml:space="preserve">-cantilevers with a capacitive detection method; and b) pulsed field torque experiments </w:t>
      </w:r>
      <w:r w:rsidR="006D5824">
        <w:rPr>
          <w:rFonts w:ascii="Arial" w:hAnsi="Arial" w:cs="Arial"/>
          <w:sz w:val="20"/>
          <w:szCs w:val="20"/>
        </w:rPr>
        <w:t xml:space="preserve">up to 65T using </w:t>
      </w:r>
      <w:proofErr w:type="spellStart"/>
      <w:r w:rsidR="006D5824">
        <w:rPr>
          <w:rFonts w:ascii="Arial" w:hAnsi="Arial" w:cs="Arial"/>
          <w:sz w:val="20"/>
          <w:szCs w:val="20"/>
        </w:rPr>
        <w:t>piezoresistive</w:t>
      </w:r>
      <w:proofErr w:type="spellEnd"/>
      <w:r w:rsidR="002F1958">
        <w:rPr>
          <w:rFonts w:ascii="Arial" w:hAnsi="Arial" w:cs="Arial"/>
          <w:sz w:val="20"/>
          <w:szCs w:val="20"/>
        </w:rPr>
        <w:t xml:space="preserve"> Si-</w:t>
      </w:r>
      <w:proofErr w:type="spellStart"/>
      <w:r w:rsidR="002F1958">
        <w:rPr>
          <w:rFonts w:ascii="Arial" w:hAnsi="Arial" w:cs="Arial"/>
          <w:sz w:val="20"/>
          <w:szCs w:val="20"/>
        </w:rPr>
        <w:t>microcantilevers</w:t>
      </w:r>
      <w:proofErr w:type="spellEnd"/>
      <w:r w:rsidR="006D5824">
        <w:rPr>
          <w:rFonts w:ascii="Arial" w:hAnsi="Arial" w:cs="Arial"/>
          <w:sz w:val="20"/>
          <w:szCs w:val="20"/>
        </w:rPr>
        <w:t xml:space="preserve">. </w:t>
      </w:r>
      <w:r w:rsidR="004C09C3">
        <w:rPr>
          <w:rFonts w:ascii="Arial" w:hAnsi="Arial" w:cs="Arial"/>
          <w:sz w:val="20"/>
          <w:szCs w:val="20"/>
        </w:rPr>
        <w:t>The results obtained by b</w:t>
      </w:r>
      <w:r w:rsidR="006D5824">
        <w:rPr>
          <w:rFonts w:ascii="Arial" w:hAnsi="Arial" w:cs="Arial"/>
          <w:sz w:val="20"/>
          <w:szCs w:val="20"/>
        </w:rPr>
        <w:t>oth techniques were in good agreement.</w:t>
      </w:r>
    </w:p>
    <w:p w14:paraId="443CA45B" w14:textId="77777777" w:rsidR="002524EE" w:rsidRPr="006B3824" w:rsidRDefault="002524E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657A1F35" w14:textId="77777777"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</w:p>
    <w:p w14:paraId="190C2087" w14:textId="77777777" w:rsidR="006D5824" w:rsidRDefault="00681BCC" w:rsidP="006D5824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385B221A" wp14:editId="1B38201B">
            <wp:simplePos x="0" y="0"/>
            <wp:positionH relativeFrom="column">
              <wp:posOffset>0</wp:posOffset>
            </wp:positionH>
            <wp:positionV relativeFrom="paragraph">
              <wp:posOffset>967436</wp:posOffset>
            </wp:positionV>
            <wp:extent cx="3562350" cy="3169920"/>
            <wp:effectExtent l="0" t="0" r="0" b="0"/>
            <wp:wrapTight wrapText="bothSides">
              <wp:wrapPolygon edited="0">
                <wp:start x="0" y="0"/>
                <wp:lineTo x="0" y="21418"/>
                <wp:lineTo x="21484" y="21418"/>
                <wp:lineTo x="21484" y="0"/>
                <wp:lineTo x="0" y="0"/>
              </wp:wrapPolygon>
            </wp:wrapTight>
            <wp:docPr id="4" name="Grafik 4" descr="C:\Users\Philip\AppData\Local\Microsoft\Windows\INetCache\Content.Word\Figure 4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hilip\AppData\Local\Microsoft\Windows\INetCache\Content.Word\Figure 4v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8" t="5060" r="7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824">
        <w:rPr>
          <w:rFonts w:ascii="Arial" w:hAnsi="Arial" w:cs="Arial"/>
          <w:sz w:val="20"/>
          <w:szCs w:val="20"/>
        </w:rPr>
        <w:tab/>
      </w:r>
      <w:r w:rsidR="006D5824">
        <w:rPr>
          <w:rFonts w:ascii="Arial" w:hAnsi="Arial" w:cs="Arial"/>
          <w:sz w:val="20"/>
          <w:szCs w:val="20"/>
        </w:rPr>
        <w:t xml:space="preserve">We have observed </w:t>
      </w:r>
      <w:r w:rsidR="006D5824" w:rsidRPr="009C7859">
        <w:rPr>
          <w:rFonts w:ascii="Arial" w:hAnsi="Arial" w:cs="Arial"/>
          <w:sz w:val="20"/>
          <w:szCs w:val="20"/>
        </w:rPr>
        <w:t>a pronounced anomaly</w:t>
      </w:r>
      <w:r w:rsidR="006D5824">
        <w:rPr>
          <w:rFonts w:ascii="Arial" w:hAnsi="Arial" w:cs="Arial"/>
          <w:sz w:val="20"/>
          <w:szCs w:val="20"/>
        </w:rPr>
        <w:t xml:space="preserve"> in the magnetic torque</w:t>
      </w:r>
      <w:r w:rsidR="006D5824" w:rsidRPr="009C7859">
        <w:rPr>
          <w:rFonts w:ascii="Arial" w:hAnsi="Arial" w:cs="Arial"/>
          <w:sz w:val="20"/>
          <w:szCs w:val="20"/>
        </w:rPr>
        <w:t xml:space="preserve"> </w:t>
      </w:r>
      <w:r w:rsidR="006D5824">
        <w:rPr>
          <w:rFonts w:ascii="Arial" w:hAnsi="Arial" w:cs="Arial"/>
          <w:sz w:val="20"/>
          <w:szCs w:val="20"/>
        </w:rPr>
        <w:t xml:space="preserve">at the (field angle dependent) quantum limit of </w:t>
      </w:r>
      <w:proofErr w:type="spellStart"/>
      <w:r w:rsidR="006D5824">
        <w:rPr>
          <w:rFonts w:ascii="Arial" w:hAnsi="Arial" w:cs="Arial"/>
          <w:sz w:val="20"/>
          <w:szCs w:val="20"/>
        </w:rPr>
        <w:t>NbAs</w:t>
      </w:r>
      <w:proofErr w:type="spellEnd"/>
      <w:r w:rsidR="006D5824" w:rsidRPr="009C7859">
        <w:rPr>
          <w:rFonts w:ascii="Arial" w:hAnsi="Arial" w:cs="Arial"/>
          <w:sz w:val="20"/>
          <w:szCs w:val="20"/>
        </w:rPr>
        <w:t>. The anomaly is characterized by a striking change in sign, signaling a reversal of the magnetic anisotropy that can be directly attributed to the topological nature of the Weyl electrons</w:t>
      </w:r>
      <w:r w:rsidR="00CB3274">
        <w:rPr>
          <w:rFonts w:ascii="Arial" w:hAnsi="Arial" w:cs="Arial"/>
          <w:sz w:val="20"/>
          <w:szCs w:val="20"/>
        </w:rPr>
        <w:t>.</w:t>
      </w:r>
      <w:r w:rsidR="006D5824">
        <w:rPr>
          <w:rFonts w:ascii="Arial" w:hAnsi="Arial" w:cs="Arial"/>
          <w:sz w:val="20"/>
          <w:szCs w:val="20"/>
        </w:rPr>
        <w:t xml:space="preserve"> The low-energy Hamiltonian of massive electrons is described by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ε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n,k</m:t>
            </m:r>
          </m:sub>
        </m:sSub>
        <m:r>
          <w:rPr>
            <w:rFonts w:ascii="Cambria Math" w:hAnsi="Cambria Math" w:cs="Arial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ℏeB</m:t>
            </m:r>
          </m:num>
          <m:den>
            <m:r>
              <w:rPr>
                <w:rFonts w:ascii="Cambria Math" w:hAnsi="Cambria Math" w:cs="Arial"/>
              </w:rPr>
              <m:t>m</m:t>
            </m:r>
          </m:den>
        </m:f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n+</m:t>
            </m:r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</w:rPr>
                  <m:t>2</m:t>
                </m:r>
              </m:den>
            </m:f>
          </m:e>
        </m:d>
        <m:r>
          <w:rPr>
            <w:rFonts w:ascii="Cambria Math" w:hAnsi="Cambria Math" w:cs="Arial"/>
          </w:rPr>
          <m:t>+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 w:cs="Arial"/>
                    <w:i/>
                  </w:rPr>
                </m:ctrlPr>
              </m:sSubSup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ℏ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</w:rPr>
                  <m:t>k</m:t>
                </m:r>
              </m:e>
              <m:sub>
                <m:r>
                  <w:rPr>
                    <w:rFonts w:ascii="Cambria Math" w:hAnsi="Cambria Math" w:cs="Arial"/>
                  </w:rPr>
                  <m:t>z</m:t>
                </m:r>
              </m:sub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Arial"/>
              </w:rPr>
              <m:t>2m</m:t>
            </m:r>
          </m:den>
        </m:f>
      </m:oMath>
      <w:r w:rsidR="00CB3274">
        <w:rPr>
          <w:rFonts w:ascii="Arial" w:hAnsi="Arial" w:cs="Arial"/>
        </w:rPr>
        <w:t xml:space="preserve">, </w:t>
      </w:r>
      <w:r w:rsidR="00CB3274">
        <w:rPr>
          <w:rFonts w:ascii="Arial" w:hAnsi="Arial" w:cs="Arial"/>
          <w:sz w:val="20"/>
          <w:szCs w:val="20"/>
        </w:rPr>
        <w:t>while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ε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n,k</m:t>
            </m:r>
          </m:sub>
        </m:sSub>
        <m:r>
          <w:rPr>
            <w:rFonts w:ascii="Cambria Math" w:hAnsi="Cambria Math" w:cs="Arial"/>
            <w:sz w:val="20"/>
            <w:szCs w:val="20"/>
          </w:rPr>
          <m:t>=</m:t>
        </m:r>
        <m:r>
          <w:rPr>
            <w:rFonts w:ascii="Cambria Math" w:hAnsi="Cambria Math" w:cs="Arial"/>
          </w:rPr>
          <m:t>ℏ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v</m:t>
            </m:r>
          </m:e>
          <m:sub>
            <m:r>
              <w:rPr>
                <w:rFonts w:ascii="Cambria Math" w:hAnsi="Cambria Math" w:cs="Arial"/>
              </w:rPr>
              <m:t>F</m:t>
            </m:r>
          </m:sub>
        </m:sSub>
        <m:r>
          <w:rPr>
            <w:rFonts w:ascii="Cambria Math" w:hAnsi="Cambria Math" w:cs="Arial"/>
          </w:rPr>
          <m:t xml:space="preserve"> 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2Bn+</m:t>
            </m:r>
            <m:sSubSup>
              <m:sSubSupPr>
                <m:ctrlPr>
                  <w:rPr>
                    <w:rFonts w:ascii="Cambria Math" w:hAnsi="Cambria Math" w:cs="Arial"/>
                    <w:i/>
                  </w:rPr>
                </m:ctrlPr>
              </m:sSubSupPr>
              <m:e>
                <m:r>
                  <w:rPr>
                    <w:rFonts w:ascii="Cambria Math" w:hAnsi="Cambria Math" w:cs="Arial"/>
                  </w:rPr>
                  <m:t>k</m:t>
                </m:r>
              </m:e>
              <m:sub>
                <m:r>
                  <w:rPr>
                    <w:rFonts w:ascii="Cambria Math" w:hAnsi="Cambria Math" w:cs="Arial"/>
                  </w:rPr>
                  <m:t>z</m:t>
                </m:r>
              </m:sub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bSup>
          </m:e>
        </m:rad>
      </m:oMath>
      <w:r w:rsidR="00CB3274">
        <w:rPr>
          <w:rFonts w:ascii="Arial" w:hAnsi="Arial" w:cs="Arial"/>
          <w:sz w:val="20"/>
          <w:szCs w:val="20"/>
        </w:rPr>
        <w:t xml:space="preserve"> describes massless Weyl-electrons</w:t>
      </w:r>
      <w:r w:rsidR="00CB3274">
        <w:rPr>
          <w:rFonts w:ascii="Arial" w:hAnsi="Arial" w:cs="Arial"/>
        </w:rPr>
        <w:t xml:space="preserve">, </w:t>
      </w:r>
      <w:r w:rsidR="00CB3274">
        <w:rPr>
          <w:rFonts w:ascii="Arial" w:hAnsi="Arial" w:cs="Arial"/>
          <w:sz w:val="20"/>
          <w:szCs w:val="20"/>
        </w:rPr>
        <w:t xml:space="preserve">where n denotes the Landau level index. At the quantum limit, the electrons are all confined into the lowest Landau level (n=0). The high field behavior is thus clearly distinct: While the energy of trivial, massive electrons remains field dependent even above the quantum limit as usual, the energy of Weyl fermions is </w:t>
      </w:r>
      <w:r w:rsidR="00CB3274" w:rsidRPr="00CB3274">
        <w:rPr>
          <w:rFonts w:ascii="Arial" w:hAnsi="Arial" w:cs="Arial"/>
          <w:i/>
          <w:sz w:val="20"/>
          <w:szCs w:val="20"/>
        </w:rPr>
        <w:t>field-independent</w:t>
      </w:r>
      <w:r w:rsidR="00CB3274">
        <w:rPr>
          <w:rFonts w:ascii="Arial" w:hAnsi="Arial" w:cs="Arial"/>
          <w:sz w:val="20"/>
          <w:szCs w:val="20"/>
        </w:rPr>
        <w:t xml:space="preserve"> for n=0. This leads to a jump in the </w:t>
      </w:r>
      <w:proofErr w:type="gramStart"/>
      <w:r w:rsidR="00CB3274">
        <w:rPr>
          <w:rFonts w:ascii="Arial" w:hAnsi="Arial" w:cs="Arial"/>
          <w:sz w:val="20"/>
          <w:szCs w:val="20"/>
        </w:rPr>
        <w:t xml:space="preserve">magnetization </w:t>
      </w:r>
      <w:proofErr w:type="gramEnd"/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M</m:t>
            </m:r>
          </m:e>
          <m:sub>
            <m:r>
              <w:rPr>
                <w:rFonts w:ascii="Cambria Math" w:eastAsiaTheme="minorEastAsia" w:hAnsi="Cambria Math" w:cs="Arial"/>
              </w:rPr>
              <m:t>n=0</m:t>
            </m:r>
          </m:sub>
        </m:sSub>
        <m:r>
          <w:rPr>
            <w:rFonts w:ascii="Cambria Math" w:eastAsiaTheme="minorEastAsia" w:hAnsi="Cambria Math" w:cs="Arial"/>
          </w:rPr>
          <m:t>=-</m:t>
        </m:r>
        <m:f>
          <m:fPr>
            <m:type m:val="lin"/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∂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ε</m:t>
                </m:r>
              </m:e>
              <m:sub>
                <m:r>
                  <w:rPr>
                    <w:rFonts w:ascii="Cambria Math" w:hAnsi="Cambria Math" w:cs="Arial"/>
                  </w:rPr>
                  <m:t>0,k</m:t>
                </m:r>
              </m:sub>
            </m:sSub>
          </m:num>
          <m:den>
            <m:r>
              <w:rPr>
                <w:rFonts w:ascii="Cambria Math" w:eastAsiaTheme="minorEastAsia" w:hAnsi="Cambria Math" w:cs="Arial"/>
              </w:rPr>
              <m:t>∂B</m:t>
            </m:r>
          </m:den>
        </m:f>
      </m:oMath>
      <w:r w:rsidR="002024D5">
        <w:rPr>
          <w:rFonts w:ascii="Arial" w:hAnsi="Arial" w:cs="Arial"/>
        </w:rPr>
        <w:t xml:space="preserve">, </w:t>
      </w:r>
      <w:r w:rsidR="002024D5">
        <w:rPr>
          <w:rFonts w:ascii="Arial" w:hAnsi="Arial" w:cs="Arial"/>
          <w:sz w:val="20"/>
          <w:szCs w:val="20"/>
        </w:rPr>
        <w:t xml:space="preserve">which can be detected as an anomaly in the magnetic torque. Furthermore, the situation for Dirac-semimetals is different due to the field-dependent splitting of the Weyl subsystems. </w:t>
      </w:r>
      <w:r w:rsidR="006D5824" w:rsidRPr="009C7859">
        <w:rPr>
          <w:rFonts w:ascii="Arial" w:hAnsi="Arial" w:cs="Arial"/>
          <w:sz w:val="20"/>
          <w:szCs w:val="20"/>
        </w:rPr>
        <w:t xml:space="preserve">Our results establish that anomalous quantum limit torque measurements provide a direct experimental method to identify </w:t>
      </w:r>
      <w:r w:rsidR="004C09C3" w:rsidRPr="009C7859">
        <w:rPr>
          <w:rFonts w:ascii="Arial" w:hAnsi="Arial" w:cs="Arial"/>
          <w:sz w:val="20"/>
          <w:szCs w:val="20"/>
        </w:rPr>
        <w:t xml:space="preserve">Weyl and Dirac systems </w:t>
      </w:r>
      <w:r w:rsidR="006D5824" w:rsidRPr="009C7859">
        <w:rPr>
          <w:rFonts w:ascii="Arial" w:hAnsi="Arial" w:cs="Arial"/>
          <w:sz w:val="20"/>
          <w:szCs w:val="20"/>
        </w:rPr>
        <w:t>and distinguish</w:t>
      </w:r>
      <w:r w:rsidR="004C09C3">
        <w:rPr>
          <w:rFonts w:ascii="Arial" w:hAnsi="Arial" w:cs="Arial"/>
          <w:sz w:val="20"/>
          <w:szCs w:val="20"/>
        </w:rPr>
        <w:t xml:space="preserve"> between them</w:t>
      </w:r>
      <w:r w:rsidR="006D5824" w:rsidRPr="009C7859">
        <w:rPr>
          <w:rFonts w:ascii="Arial" w:hAnsi="Arial" w:cs="Arial"/>
          <w:sz w:val="20"/>
          <w:szCs w:val="20"/>
        </w:rPr>
        <w:t>.</w:t>
      </w:r>
    </w:p>
    <w:p w14:paraId="0148A095" w14:textId="77777777" w:rsidR="00734E94" w:rsidRPr="006B3824" w:rsidRDefault="00734E9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5A4516D2" w14:textId="77777777" w:rsidR="00FB4399" w:rsidRDefault="00E25473" w:rsidP="00FB439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14:paraId="278953F4" w14:textId="77777777" w:rsidR="00491C5D" w:rsidRDefault="004C09C3" w:rsidP="00FB4399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346B6C" wp14:editId="1D09F03E">
                <wp:simplePos x="0" y="0"/>
                <wp:positionH relativeFrom="column">
                  <wp:posOffset>-3662680</wp:posOffset>
                </wp:positionH>
                <wp:positionV relativeFrom="paragraph">
                  <wp:posOffset>532461</wp:posOffset>
                </wp:positionV>
                <wp:extent cx="3536950" cy="901700"/>
                <wp:effectExtent l="0" t="0" r="6350" b="0"/>
                <wp:wrapThrough wrapText="bothSides">
                  <wp:wrapPolygon edited="0">
                    <wp:start x="0" y="0"/>
                    <wp:lineTo x="0" y="20992"/>
                    <wp:lineTo x="21522" y="20992"/>
                    <wp:lineTo x="21522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DD470" w14:textId="77777777" w:rsidR="00681BCC" w:rsidRPr="00B60163" w:rsidRDefault="007C4F47" w:rsidP="002F5FD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B6016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Fig.1</w:t>
                            </w:r>
                            <w:r w:rsidRPr="00B601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81BCC" w:rsidRPr="00B601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(a) Torque anomaly in </w:t>
                            </w:r>
                            <w:proofErr w:type="spellStart"/>
                            <w:r w:rsidR="00681BCC" w:rsidRPr="00B601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NbAs</w:t>
                            </w:r>
                            <w:proofErr w:type="spellEnd"/>
                            <w:r w:rsidR="00681BCC" w:rsidRPr="00B601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at the quantum limit. A clear break-in-slope signals the quantum limit, followed by a change in sign</w:t>
                            </w:r>
                            <w:r w:rsidR="004C09C3" w:rsidRPr="00B601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at higher fields (arrows)</w:t>
                            </w:r>
                            <w:r w:rsidR="00681BCC" w:rsidRPr="00B601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 Lower panels show simulated data for massive trivial (b) and Weyl (c) electrons.</w:t>
                            </w:r>
                            <w:r w:rsidR="002F5FD8" w:rsidRPr="00B601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Such an anomalous torque is absent in conventional metals, yet well-reproduced </w:t>
                            </w:r>
                            <w:r w:rsidR="004C09C3" w:rsidRPr="00B601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by calculations assuming massle</w:t>
                            </w:r>
                            <w:r w:rsidR="002F5FD8" w:rsidRPr="00B601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ss Weyl fermions.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8.4pt;margin-top:41.95pt;width:278.5pt;height:7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9b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fPp+aycgomCrUyzeRqpS0h1OG2s82+57lCY1NgC&#10;8xGd7O6cD9GQ6uASLnNaCrYSUsaF3axvpEU7AipZxS8m8MJNquCsdDg2Io47ECTcEWwh3Mj6U5nl&#10;RXqdl5PVbDGfFKtiOinn6WKSZuV1OUuLsrhdfQ8BZkXVCsa4uhOKHxSYFX/H8L4XRu1EDaIe6jPN&#10;pyNFf0wyjd/vkuyEh4aUoqvx4uhEqkDsG8UgbVJ5IuQ4T34OP1YZanD4x6pEGQTmRw34YT0AStDG&#10;WrNHEITVwBdQC68ITFptv2HUQ0fW2H3dEssxku8UiKrMiiK0cFwU03kOC3tqWZ9aiKIAVWOP0Ti9&#10;8WPbb40VmxZuGmWs9BUIsRFRI89R7eULXReT2b8Qoa1P19Hr+R1b/gAAAP//AwBQSwMEFAAGAAgA&#10;AAAhAODjuf/gAAAACwEAAA8AAABkcnMvZG93bnJldi54bWxMj0FPg0AQhe8m/ofNNPFi6FIUKMjQ&#10;qInGa2t/wABTIGV3Cbst9N+7nvQ4b17e+16xW9QgrjzZ3miEzToEwbo2Ta9bhOP3R7AFYR3phgaj&#10;GeHGFnbl/V1BeWNmvefrwbXCh2ibE0Ln3JhLaeuOFdm1GVn738lMipw/p1Y2E80+XA0yCsNEKuq1&#10;b+ho5PeO6/PhohBOX/NjnM3Vpzum++fkjfq0MjfEh9Xy+gLC8eL+zPCL79Gh9EyVuejGigEhiNPE&#10;szuE7VMGwjuCTeaFCiGK4gxkWcj/G8ofAAAA//8DAFBLAQItABQABgAIAAAAIQC2gziS/gAAAOEB&#10;AAATAAAAAAAAAAAAAAAAAAAAAABbQ29udGVudF9UeXBlc10ueG1sUEsBAi0AFAAGAAgAAAAhADj9&#10;If/WAAAAlAEAAAsAAAAAAAAAAAAAAAAALwEAAF9yZWxzLy5yZWxzUEsBAi0AFAAGAAgAAAAhAEe6&#10;T1uCAgAADwUAAA4AAAAAAAAAAAAAAAAALgIAAGRycy9lMm9Eb2MueG1sUEsBAi0AFAAGAAgAAAAh&#10;AODjuf/gAAAACwEAAA8AAAAAAAAAAAAAAAAA3AQAAGRycy9kb3ducmV2LnhtbFBLBQYAAAAABAAE&#10;APMAAADpBQAAAAA=&#10;" stroked="f">
                <v:textbox>
                  <w:txbxContent>
                    <w:p w14:paraId="416DD470" w14:textId="77777777" w:rsidR="00681BCC" w:rsidRPr="00B60163" w:rsidRDefault="007C4F47" w:rsidP="002F5FD8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bookmarkStart w:id="1" w:name="_GoBack"/>
                      <w:r w:rsidRPr="00B6016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Fig.1</w:t>
                      </w:r>
                      <w:r w:rsidRPr="00B6016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681BCC" w:rsidRPr="00B6016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(a) Torque anomaly in </w:t>
                      </w:r>
                      <w:proofErr w:type="spellStart"/>
                      <w:r w:rsidR="00681BCC" w:rsidRPr="00B60163">
                        <w:rPr>
                          <w:rFonts w:ascii="Arial" w:hAnsi="Arial" w:cs="Arial"/>
                          <w:sz w:val="18"/>
                          <w:szCs w:val="18"/>
                        </w:rPr>
                        <w:t>NbAs</w:t>
                      </w:r>
                      <w:proofErr w:type="spellEnd"/>
                      <w:r w:rsidR="00681BCC" w:rsidRPr="00B6016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at the quantum limit. A clear break-in-slope signals the quantum limit, followed by a change in sign</w:t>
                      </w:r>
                      <w:r w:rsidR="004C09C3" w:rsidRPr="00B6016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at higher fields (arrows)</w:t>
                      </w:r>
                      <w:r w:rsidR="00681BCC" w:rsidRPr="00B60163">
                        <w:rPr>
                          <w:rFonts w:ascii="Arial" w:hAnsi="Arial" w:cs="Arial"/>
                          <w:sz w:val="18"/>
                          <w:szCs w:val="18"/>
                        </w:rPr>
                        <w:t>. Lower panels show simulated data for massive trivial (b) and Weyl (c) electrons.</w:t>
                      </w:r>
                      <w:r w:rsidR="002F5FD8" w:rsidRPr="00B6016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Such an anomalous torque is absent in conventional metals, yet well-reproduced </w:t>
                      </w:r>
                      <w:r w:rsidR="004C09C3" w:rsidRPr="00B60163">
                        <w:rPr>
                          <w:rFonts w:ascii="Arial" w:hAnsi="Arial" w:cs="Arial"/>
                          <w:sz w:val="18"/>
                          <w:szCs w:val="18"/>
                        </w:rPr>
                        <w:t>by calculations assuming massle</w:t>
                      </w:r>
                      <w:r w:rsidR="002F5FD8" w:rsidRPr="00B60163">
                        <w:rPr>
                          <w:rFonts w:ascii="Arial" w:hAnsi="Arial" w:cs="Arial"/>
                          <w:sz w:val="18"/>
                          <w:szCs w:val="18"/>
                        </w:rPr>
                        <w:t>ss Weyl fermions.</w:t>
                      </w:r>
                      <w:bookmarkEnd w:id="1"/>
                    </w:p>
                  </w:txbxContent>
                </v:textbox>
                <w10:wrap type="through"/>
              </v:shape>
            </w:pict>
          </mc:Fallback>
        </mc:AlternateContent>
      </w:r>
      <w:r w:rsidR="00FB4399"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FB4399" w:rsidRPr="00334CEB">
        <w:rPr>
          <w:rFonts w:ascii="Arial" w:eastAsia="Times New Roman" w:hAnsi="Arial" w:cs="Arial"/>
          <w:sz w:val="20"/>
          <w:szCs w:val="20"/>
          <w:lang w:eastAsia="en-US"/>
        </w:rPr>
        <w:t>A portion of this work was performed at the National High Magnetic Field Laboratory, which is supported by National Science Foundation Coopera</w:t>
      </w:r>
      <w:r w:rsidR="003A1FF5">
        <w:rPr>
          <w:rFonts w:ascii="Arial" w:eastAsia="Times New Roman" w:hAnsi="Arial" w:cs="Arial"/>
          <w:sz w:val="20"/>
          <w:szCs w:val="20"/>
          <w:lang w:eastAsia="en-US"/>
        </w:rPr>
        <w:t xml:space="preserve">tive Agreement No. </w:t>
      </w:r>
      <w:proofErr w:type="gramStart"/>
      <w:r w:rsidR="003A1FF5">
        <w:rPr>
          <w:rFonts w:ascii="Arial" w:eastAsia="Times New Roman" w:hAnsi="Arial" w:cs="Arial"/>
          <w:sz w:val="20"/>
          <w:szCs w:val="20"/>
          <w:lang w:eastAsia="en-US"/>
        </w:rPr>
        <w:t>DMR-1157490</w:t>
      </w:r>
      <w:r w:rsidR="00A758E6">
        <w:rPr>
          <w:rFonts w:ascii="Arial" w:eastAsia="Times New Roman" w:hAnsi="Arial" w:cs="Arial"/>
          <w:sz w:val="20"/>
          <w:szCs w:val="20"/>
          <w:lang w:eastAsia="en-US"/>
        </w:rPr>
        <w:t xml:space="preserve"> and </w:t>
      </w:r>
      <w:r w:rsidR="00FB4399" w:rsidRPr="00334CEB">
        <w:rPr>
          <w:rFonts w:ascii="Arial" w:eastAsia="Times New Roman" w:hAnsi="Arial" w:cs="Arial"/>
          <w:sz w:val="20"/>
          <w:szCs w:val="20"/>
          <w:lang w:eastAsia="en-US"/>
        </w:rPr>
        <w:t>the Stat</w:t>
      </w:r>
      <w:r w:rsidR="00334CEB">
        <w:rPr>
          <w:rFonts w:ascii="Arial" w:eastAsia="Times New Roman" w:hAnsi="Arial" w:cs="Arial"/>
          <w:sz w:val="20"/>
          <w:szCs w:val="20"/>
          <w:lang w:eastAsia="en-US"/>
        </w:rPr>
        <w:t>e of Florida</w:t>
      </w:r>
      <w:r w:rsidR="001F5412">
        <w:rPr>
          <w:rFonts w:ascii="Arial" w:eastAsia="Times New Roman" w:hAnsi="Arial" w:cs="Arial"/>
          <w:sz w:val="20"/>
          <w:szCs w:val="20"/>
          <w:lang w:eastAsia="en-US"/>
        </w:rPr>
        <w:t>.</w:t>
      </w:r>
      <w:proofErr w:type="gramEnd"/>
      <w:r w:rsidR="003E0B20">
        <w:rPr>
          <w:rFonts w:ascii="Arial" w:eastAsia="Times New Roman" w:hAnsi="Arial" w:cs="Arial"/>
          <w:sz w:val="20"/>
          <w:szCs w:val="20"/>
          <w:lang w:eastAsia="en-US"/>
        </w:rPr>
        <w:t xml:space="preserve"> This work was also supported by </w:t>
      </w:r>
      <w:r w:rsidR="003E0B20" w:rsidRPr="003E0B20">
        <w:rPr>
          <w:rFonts w:ascii="Arial" w:eastAsia="Times New Roman" w:hAnsi="Arial" w:cs="Arial"/>
          <w:sz w:val="20"/>
          <w:szCs w:val="20"/>
          <w:lang w:eastAsia="en-US"/>
        </w:rPr>
        <w:t xml:space="preserve">Gordon and Betty Moore Foundation’s </w:t>
      </w:r>
      <w:proofErr w:type="spellStart"/>
      <w:r w:rsidR="003E0B20" w:rsidRPr="003E0B20">
        <w:rPr>
          <w:rFonts w:ascii="Arial" w:eastAsia="Times New Roman" w:hAnsi="Arial" w:cs="Arial"/>
          <w:sz w:val="20"/>
          <w:szCs w:val="20"/>
          <w:lang w:eastAsia="en-US"/>
        </w:rPr>
        <w:t>EPiQS</w:t>
      </w:r>
      <w:proofErr w:type="spellEnd"/>
      <w:r w:rsidR="003E0B20" w:rsidRPr="003E0B20">
        <w:rPr>
          <w:rFonts w:ascii="Arial" w:eastAsia="Times New Roman" w:hAnsi="Arial" w:cs="Arial"/>
          <w:sz w:val="20"/>
          <w:szCs w:val="20"/>
          <w:lang w:eastAsia="en-US"/>
        </w:rPr>
        <w:t xml:space="preserve"> Initiative through Grant GBMF4374</w:t>
      </w:r>
      <w:r w:rsidR="003E0B20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14:paraId="5A667887" w14:textId="77777777" w:rsidR="00020953" w:rsidRDefault="00020953" w:rsidP="00FB4399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</w:p>
    <w:p w14:paraId="282AB86C" w14:textId="77777777" w:rsidR="00020953" w:rsidRDefault="00020953" w:rsidP="00020953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09F1D7DC" w14:textId="77777777" w:rsidR="00020953" w:rsidRPr="006B3824" w:rsidRDefault="00020953" w:rsidP="00020953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References</w:t>
      </w:r>
    </w:p>
    <w:p w14:paraId="54F439D2" w14:textId="2977035E" w:rsidR="00F908F6" w:rsidRPr="006B3824" w:rsidRDefault="0002095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sz w:val="20"/>
          <w:szCs w:val="20"/>
        </w:rPr>
        <w:t xml:space="preserve"> [1]</w:t>
      </w:r>
      <w:r w:rsidRPr="006B382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Moll, P.J.W. et al</w:t>
      </w:r>
      <w:r w:rsidR="003E0B2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(</w:t>
      </w:r>
      <w:r w:rsidRPr="002F5FD8">
        <w:rPr>
          <w:rFonts w:ascii="Arial" w:hAnsi="Arial" w:cs="Arial"/>
          <w:sz w:val="20"/>
          <w:szCs w:val="20"/>
        </w:rPr>
        <w:t>arXiv</w:t>
      </w:r>
      <w:proofErr w:type="gramStart"/>
      <w:r w:rsidRPr="002F5FD8">
        <w:rPr>
          <w:rFonts w:ascii="Arial" w:hAnsi="Arial" w:cs="Arial"/>
          <w:sz w:val="20"/>
          <w:szCs w:val="20"/>
        </w:rPr>
        <w:t>:1507.06981</w:t>
      </w:r>
      <w:proofErr w:type="gramEnd"/>
      <w:r>
        <w:rPr>
          <w:rFonts w:ascii="Arial" w:hAnsi="Arial" w:cs="Arial"/>
          <w:sz w:val="20"/>
          <w:szCs w:val="20"/>
        </w:rPr>
        <w:t>, 2015)</w:t>
      </w:r>
      <w:r w:rsidR="003E0B20" w:rsidDel="003E0B20">
        <w:rPr>
          <w:rFonts w:ascii="Arial" w:hAnsi="Arial" w:cs="Arial"/>
          <w:sz w:val="20"/>
          <w:szCs w:val="20"/>
        </w:rPr>
        <w:t xml:space="preserve"> </w:t>
      </w:r>
    </w:p>
    <w:sectPr w:rsidR="00F908F6" w:rsidRPr="006B3824" w:rsidSect="00450C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3F952" w14:textId="77777777" w:rsidR="00A831F5" w:rsidRDefault="00A831F5">
      <w:r>
        <w:separator/>
      </w:r>
    </w:p>
  </w:endnote>
  <w:endnote w:type="continuationSeparator" w:id="0">
    <w:p w14:paraId="5FC5F871" w14:textId="77777777" w:rsidR="00A831F5" w:rsidRDefault="00A8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B3B1F" w14:textId="77777777" w:rsidR="008A1D84" w:rsidRDefault="008A1D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FAA88" w14:textId="77777777" w:rsidR="008A1D84" w:rsidRDefault="008A1D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7B534" w14:textId="77777777" w:rsidR="008A1D84" w:rsidRDefault="008A1D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C0D7F" w14:textId="77777777" w:rsidR="00A831F5" w:rsidRDefault="00A831F5">
      <w:r>
        <w:separator/>
      </w:r>
    </w:p>
  </w:footnote>
  <w:footnote w:type="continuationSeparator" w:id="0">
    <w:p w14:paraId="2954B4BF" w14:textId="77777777" w:rsidR="00A831F5" w:rsidRDefault="00A83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D40AF" w14:textId="77777777" w:rsidR="008A1D84" w:rsidRDefault="008A1D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E239B" w14:textId="77777777" w:rsidR="00F974C6" w:rsidRDefault="006D5824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A966BB" wp14:editId="02D700E2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9525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68C12B" w14:textId="77777777" w:rsidR="00F95583" w:rsidRPr="00306550" w:rsidRDefault="001E6BF4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 w:rsidR="00A55035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14:paraId="76C76CF4" w14:textId="77777777" w:rsidR="00F974C6" w:rsidRPr="00306550" w:rsidRDefault="001E6BF4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201</w:t>
                          </w:r>
                          <w:r w:rsidR="008A1D84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5 </w:t>
                          </w:r>
                          <w:r w:rsidR="00F974C6"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ghGYICAAAPBQAADgAAAGRycy9lMm9Eb2MueG1srFTbjtsgEH2v1H9AvGd9qXOxFWe1l6aqtL1I&#10;u/0AAjhGxUCBxN5W/fcOOMmm21aqqvoBAzMcZuacYXk5dBLtuXVCqxpnFylGXFHNhNrW+NPDerLA&#10;yHmiGJFa8Ro/cocvVy9fLHtT8Vy3WjJuEYAoV/Wmxq33pkoSR1veEXehDVdgbLTtiIel3SbMkh7Q&#10;O5nkaTpLem2ZsZpy52D3djTiVcRvGk79h6Zx3CNZY4jNx9HGcRPGZLUk1dYS0wp6CIP8QxQdEQou&#10;PUHdEk/QzopfoDpBrXa68RdUd4luGkF5zAGyydJn2dy3xPCYCxTHmVOZ3P+Dpe/3Hy0SrMY5Rop0&#10;QNEDHzy61gPKQ3V64ypwujfg5gfYBpZjps7cafrZIaVvWqK2/Mpa3becMIguCyeTs6Mjjgsgm/6d&#10;ZnAN2XkdgYbGdqF0UAwE6MDS44mZEAqFzVeL+Ww2n2JEwVbkZT6L1CWkOp421vk3XHcoTGpsgfmI&#10;TvZ3zodoSHV0CZc5LQVbCynjwm43N9KiPQGVrOMXE3jmJlVwVjocGxHHHQgS7gi2EG5k/VuZ5UV6&#10;nZeT9WwxnxRNMZ2U83QxSbPyupylRVncrr+HALOiagVjXN0JxY8KzIq/Y/jQC6N2ogZRX+Nymk9H&#10;iv6YZBq/3yXZCQ8NKUVX48XJiVSB2NeKQdqk8kTIcZ78HH6sMtTg+I9ViTIIzI8a8MNmAJSgjY1m&#10;jyAIq4EvYB1eEZi02n7FqIeOrLH7siOWYyTfKhBVmRVFaOG4KKbzHBb23LI5txBFAarGHqNxeuPH&#10;tt8ZK7Yt3DTKWOkrEGIjokaeojrIF7ouJnN4IUJbn6+j19M7tvoBAAD//wMAUEsDBBQABgAIAAAA&#10;IQAWu3193QAAAAkBAAAPAAAAZHJzL2Rvd25yZXYueG1sTI/NTsMwEITvSLyDtZW4IGqD2uaHOBUg&#10;gbj25wGceJtEjddR7Dbp27Oc4DajHc1+U2xn14srjqHzpOF5qUAg1d521Gg4Hj6fUhAhGrKm94Qa&#10;bhhgW97fFSa3fqIdXvexEVxCITca2hiHXMpQt+hMWPoBiW8nPzoT2Y6NtKOZuNz18kWpjXSmI/7Q&#10;mgE/WqzP+4vTcPqeHtfZVH3FY7Jbbd5Nl1T+pvXDYn57BRFxjn9h+MVndCiZqfIXskH07NOMt0QW&#10;agWCA0mWrUFULFIFsizk/wXlDwAAAP//AwBQSwECLQAUAAYACAAAACEA5JnDwPsAAADhAQAAEwAA&#10;AAAAAAAAAAAAAAAAAAAAW0NvbnRlbnRfVHlwZXNdLnhtbFBLAQItABQABgAIAAAAIQAjsmrh1wAA&#10;AJQBAAALAAAAAAAAAAAAAAAAACwBAABfcmVscy8ucmVsc1BLAQItABQABgAIAAAAIQAHSCEZggIA&#10;AA8FAAAOAAAAAAAAAAAAAAAAACwCAABkcnMvZTJvRG9jLnhtbFBLAQItABQABgAIAAAAIQAWu319&#10;3QAAAAkBAAAPAAAAAAAAAAAAAAAAANoEAABkcnMvZG93bnJldi54bWxQSwUGAAAAAAQABADzAAAA&#10;5AUAAAAA&#10;" stroked="f">
              <v:textbox>
                <w:txbxContent>
                  <w:p w14:paraId="3D68C12B" w14:textId="77777777" w:rsidR="00F95583" w:rsidRPr="00306550" w:rsidRDefault="001E6BF4" w:rsidP="00F95583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NATIONAL HIGH MAGNETIC FIELD </w:t>
                    </w:r>
                    <w:r w:rsidR="00A55035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LABORATORY</w:t>
                    </w:r>
                  </w:p>
                  <w:p w14:paraId="76C76CF4" w14:textId="77777777" w:rsidR="00F974C6" w:rsidRPr="00306550" w:rsidRDefault="001E6BF4" w:rsidP="001E6BF4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201</w:t>
                    </w:r>
                    <w:r w:rsidR="008A1D84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5 </w:t>
                    </w:r>
                    <w:r w:rsidR="00F974C6"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ANNUAL RESEARCH REPORT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 wp14:anchorId="0D49A117" wp14:editId="5CB5B1AB">
          <wp:extent cx="520700" cy="628650"/>
          <wp:effectExtent l="0" t="0" r="0" b="0"/>
          <wp:docPr id="1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D762A" w14:textId="77777777" w:rsidR="008A1D84" w:rsidRDefault="008A1D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20953"/>
    <w:rsid w:val="00020C55"/>
    <w:rsid w:val="000558AC"/>
    <w:rsid w:val="000736B9"/>
    <w:rsid w:val="00085670"/>
    <w:rsid w:val="000A1716"/>
    <w:rsid w:val="000A59A8"/>
    <w:rsid w:val="000E1354"/>
    <w:rsid w:val="000E1D4F"/>
    <w:rsid w:val="000E5465"/>
    <w:rsid w:val="00104A4C"/>
    <w:rsid w:val="00113D92"/>
    <w:rsid w:val="00120180"/>
    <w:rsid w:val="0014131B"/>
    <w:rsid w:val="00141FE9"/>
    <w:rsid w:val="00155AD2"/>
    <w:rsid w:val="00167606"/>
    <w:rsid w:val="001836FA"/>
    <w:rsid w:val="0018419E"/>
    <w:rsid w:val="0018697C"/>
    <w:rsid w:val="00187023"/>
    <w:rsid w:val="001D11F3"/>
    <w:rsid w:val="001D59E4"/>
    <w:rsid w:val="001E526E"/>
    <w:rsid w:val="001E5ECF"/>
    <w:rsid w:val="001E6BF4"/>
    <w:rsid w:val="001E7554"/>
    <w:rsid w:val="001F5412"/>
    <w:rsid w:val="002024D5"/>
    <w:rsid w:val="00231335"/>
    <w:rsid w:val="00233F11"/>
    <w:rsid w:val="00241739"/>
    <w:rsid w:val="002426D5"/>
    <w:rsid w:val="002524EE"/>
    <w:rsid w:val="00265A15"/>
    <w:rsid w:val="00290223"/>
    <w:rsid w:val="002C7675"/>
    <w:rsid w:val="002D0188"/>
    <w:rsid w:val="002F1958"/>
    <w:rsid w:val="002F5FD8"/>
    <w:rsid w:val="00306550"/>
    <w:rsid w:val="00312C04"/>
    <w:rsid w:val="00334CEB"/>
    <w:rsid w:val="003560D2"/>
    <w:rsid w:val="00363C8F"/>
    <w:rsid w:val="00376D2C"/>
    <w:rsid w:val="00393065"/>
    <w:rsid w:val="003A1FF5"/>
    <w:rsid w:val="003C6493"/>
    <w:rsid w:val="003E0B20"/>
    <w:rsid w:val="003E2F8E"/>
    <w:rsid w:val="003F55A7"/>
    <w:rsid w:val="003F6E7E"/>
    <w:rsid w:val="00410D2C"/>
    <w:rsid w:val="00420894"/>
    <w:rsid w:val="00443519"/>
    <w:rsid w:val="00450C97"/>
    <w:rsid w:val="004658A4"/>
    <w:rsid w:val="00486FF9"/>
    <w:rsid w:val="0049187D"/>
    <w:rsid w:val="00491C5D"/>
    <w:rsid w:val="004A227C"/>
    <w:rsid w:val="004C09C3"/>
    <w:rsid w:val="004D40B3"/>
    <w:rsid w:val="004F160B"/>
    <w:rsid w:val="005034C0"/>
    <w:rsid w:val="00511F7E"/>
    <w:rsid w:val="005173CE"/>
    <w:rsid w:val="0053142A"/>
    <w:rsid w:val="005452B9"/>
    <w:rsid w:val="00583BC3"/>
    <w:rsid w:val="0059781C"/>
    <w:rsid w:val="005A1B84"/>
    <w:rsid w:val="005C4422"/>
    <w:rsid w:val="005C4667"/>
    <w:rsid w:val="005C5648"/>
    <w:rsid w:val="00625028"/>
    <w:rsid w:val="00627F7D"/>
    <w:rsid w:val="006612DC"/>
    <w:rsid w:val="00672D41"/>
    <w:rsid w:val="00681BCC"/>
    <w:rsid w:val="0068543A"/>
    <w:rsid w:val="006946B6"/>
    <w:rsid w:val="006B3824"/>
    <w:rsid w:val="006C4440"/>
    <w:rsid w:val="006D5824"/>
    <w:rsid w:val="006D745E"/>
    <w:rsid w:val="006E2CE0"/>
    <w:rsid w:val="006E4A9F"/>
    <w:rsid w:val="007207FF"/>
    <w:rsid w:val="00731C19"/>
    <w:rsid w:val="00734E94"/>
    <w:rsid w:val="00764FB5"/>
    <w:rsid w:val="00774A49"/>
    <w:rsid w:val="007C0813"/>
    <w:rsid w:val="007C4F47"/>
    <w:rsid w:val="007D3105"/>
    <w:rsid w:val="007E2F28"/>
    <w:rsid w:val="00862CB5"/>
    <w:rsid w:val="00883638"/>
    <w:rsid w:val="00883D53"/>
    <w:rsid w:val="008935DA"/>
    <w:rsid w:val="008A1D84"/>
    <w:rsid w:val="008B05B8"/>
    <w:rsid w:val="008C5788"/>
    <w:rsid w:val="008E5BC5"/>
    <w:rsid w:val="008E5C85"/>
    <w:rsid w:val="008F35CC"/>
    <w:rsid w:val="008F6083"/>
    <w:rsid w:val="009648AC"/>
    <w:rsid w:val="009A39F6"/>
    <w:rsid w:val="009A3F73"/>
    <w:rsid w:val="009B41B2"/>
    <w:rsid w:val="009C1AE4"/>
    <w:rsid w:val="009C318D"/>
    <w:rsid w:val="009C3DF0"/>
    <w:rsid w:val="009C7859"/>
    <w:rsid w:val="009C7F31"/>
    <w:rsid w:val="009D39A4"/>
    <w:rsid w:val="009E4F1E"/>
    <w:rsid w:val="00A1227A"/>
    <w:rsid w:val="00A55035"/>
    <w:rsid w:val="00A758E6"/>
    <w:rsid w:val="00A831F5"/>
    <w:rsid w:val="00A94FC4"/>
    <w:rsid w:val="00AC297F"/>
    <w:rsid w:val="00AC4AFE"/>
    <w:rsid w:val="00AD3CDD"/>
    <w:rsid w:val="00AE142B"/>
    <w:rsid w:val="00AF7C63"/>
    <w:rsid w:val="00B00CDB"/>
    <w:rsid w:val="00B25D4D"/>
    <w:rsid w:val="00B45112"/>
    <w:rsid w:val="00B5585D"/>
    <w:rsid w:val="00B60163"/>
    <w:rsid w:val="00B71405"/>
    <w:rsid w:val="00B75DC9"/>
    <w:rsid w:val="00B94321"/>
    <w:rsid w:val="00B95FCB"/>
    <w:rsid w:val="00B96080"/>
    <w:rsid w:val="00BA00BE"/>
    <w:rsid w:val="00BA7096"/>
    <w:rsid w:val="00BE2257"/>
    <w:rsid w:val="00C02989"/>
    <w:rsid w:val="00C076C7"/>
    <w:rsid w:val="00C13313"/>
    <w:rsid w:val="00C75A17"/>
    <w:rsid w:val="00C81666"/>
    <w:rsid w:val="00C83434"/>
    <w:rsid w:val="00C83EAA"/>
    <w:rsid w:val="00C93F0D"/>
    <w:rsid w:val="00CA6625"/>
    <w:rsid w:val="00CB0819"/>
    <w:rsid w:val="00CB1A7C"/>
    <w:rsid w:val="00CB3274"/>
    <w:rsid w:val="00CB3C80"/>
    <w:rsid w:val="00CB4058"/>
    <w:rsid w:val="00CC5B40"/>
    <w:rsid w:val="00CE3F90"/>
    <w:rsid w:val="00D01F6B"/>
    <w:rsid w:val="00D0313F"/>
    <w:rsid w:val="00D07879"/>
    <w:rsid w:val="00D1756D"/>
    <w:rsid w:val="00D3421F"/>
    <w:rsid w:val="00D65CBB"/>
    <w:rsid w:val="00D67B56"/>
    <w:rsid w:val="00D851F6"/>
    <w:rsid w:val="00DA0AD5"/>
    <w:rsid w:val="00DD44E5"/>
    <w:rsid w:val="00DE3216"/>
    <w:rsid w:val="00E04B24"/>
    <w:rsid w:val="00E07ED9"/>
    <w:rsid w:val="00E25473"/>
    <w:rsid w:val="00E411D1"/>
    <w:rsid w:val="00E43BB4"/>
    <w:rsid w:val="00E5095B"/>
    <w:rsid w:val="00E57E61"/>
    <w:rsid w:val="00E60509"/>
    <w:rsid w:val="00E91E20"/>
    <w:rsid w:val="00EA1E33"/>
    <w:rsid w:val="00EB489A"/>
    <w:rsid w:val="00EB515D"/>
    <w:rsid w:val="00F23F2F"/>
    <w:rsid w:val="00F31351"/>
    <w:rsid w:val="00F31B06"/>
    <w:rsid w:val="00F43581"/>
    <w:rsid w:val="00F4530F"/>
    <w:rsid w:val="00F45B22"/>
    <w:rsid w:val="00F52E02"/>
    <w:rsid w:val="00F54466"/>
    <w:rsid w:val="00F8198A"/>
    <w:rsid w:val="00F908F6"/>
    <w:rsid w:val="00F935F1"/>
    <w:rsid w:val="00F95583"/>
    <w:rsid w:val="00F96A55"/>
    <w:rsid w:val="00F974C6"/>
    <w:rsid w:val="00FB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18275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2F5F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2F5F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F35C5E-1283-42A8-AB35-E59588D3ED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3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NHMFL Research Report</vt:lpstr>
      <vt:lpstr>NHMFL Research Report</vt:lpstr>
    </vt:vector>
  </TitlesOfParts>
  <Company>NHMFL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Anke Toth</cp:lastModifiedBy>
  <cp:revision>3</cp:revision>
  <cp:lastPrinted>2015-07-15T15:10:00Z</cp:lastPrinted>
  <dcterms:created xsi:type="dcterms:W3CDTF">2016-03-08T17:41:00Z</dcterms:created>
  <dcterms:modified xsi:type="dcterms:W3CDTF">2016-03-08T17:43:00Z</dcterms:modified>
</cp:coreProperties>
</file>