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17" w:rsidRPr="00D65CBB" w:rsidRDefault="001747EC" w:rsidP="006C4440">
      <w:pPr>
        <w:tabs>
          <w:tab w:val="left" w:pos="360"/>
        </w:tabs>
        <w:jc w:val="center"/>
        <w:rPr>
          <w:rFonts w:ascii="Arial" w:hAnsi="Arial" w:cs="Arial"/>
          <w:b/>
        </w:rPr>
      </w:pPr>
      <w:r>
        <w:rPr>
          <w:rFonts w:ascii="Arial" w:hAnsi="Arial" w:cs="Arial"/>
          <w:b/>
        </w:rPr>
        <w:t>The Microbial Response to Atmospheric Dust</w:t>
      </w:r>
    </w:p>
    <w:p w:rsidR="003E2F8E" w:rsidRPr="006B3824" w:rsidRDefault="003E2F8E" w:rsidP="0049187D">
      <w:pPr>
        <w:tabs>
          <w:tab w:val="left" w:pos="360"/>
        </w:tabs>
        <w:rPr>
          <w:rFonts w:ascii="Arial" w:hAnsi="Arial" w:cs="Arial"/>
          <w:sz w:val="20"/>
          <w:szCs w:val="20"/>
        </w:rPr>
      </w:pPr>
    </w:p>
    <w:p w:rsidR="00A94FC4" w:rsidRPr="006B3824" w:rsidRDefault="00167FC4" w:rsidP="0049187D">
      <w:pPr>
        <w:tabs>
          <w:tab w:val="left" w:pos="360"/>
        </w:tabs>
        <w:rPr>
          <w:rFonts w:ascii="Arial" w:hAnsi="Arial" w:cs="Arial"/>
          <w:sz w:val="20"/>
          <w:szCs w:val="20"/>
        </w:rPr>
      </w:pPr>
      <w:proofErr w:type="spellStart"/>
      <w:r>
        <w:rPr>
          <w:rFonts w:ascii="Arial" w:hAnsi="Arial" w:cs="Arial"/>
          <w:sz w:val="20"/>
          <w:szCs w:val="20"/>
        </w:rPr>
        <w:t>Ebling</w:t>
      </w:r>
      <w:proofErr w:type="spellEnd"/>
      <w:r>
        <w:rPr>
          <w:rFonts w:ascii="Arial" w:hAnsi="Arial" w:cs="Arial"/>
          <w:sz w:val="20"/>
          <w:szCs w:val="20"/>
        </w:rPr>
        <w:t>, A.M.</w:t>
      </w:r>
      <w:r w:rsidR="00206038">
        <w:rPr>
          <w:rFonts w:ascii="Arial" w:hAnsi="Arial" w:cs="Arial"/>
          <w:sz w:val="20"/>
          <w:szCs w:val="20"/>
        </w:rPr>
        <w:t>;</w:t>
      </w:r>
      <w:r>
        <w:rPr>
          <w:rFonts w:ascii="Arial" w:hAnsi="Arial" w:cs="Arial"/>
          <w:sz w:val="20"/>
          <w:szCs w:val="20"/>
        </w:rPr>
        <w:t xml:space="preserve"> Wyatt, N.J.</w:t>
      </w:r>
      <w:r w:rsidR="00206038">
        <w:rPr>
          <w:rFonts w:ascii="Arial" w:hAnsi="Arial" w:cs="Arial"/>
          <w:sz w:val="20"/>
          <w:szCs w:val="20"/>
        </w:rPr>
        <w:t xml:space="preserve"> and</w:t>
      </w:r>
      <w:r>
        <w:rPr>
          <w:rFonts w:ascii="Arial" w:hAnsi="Arial" w:cs="Arial"/>
          <w:sz w:val="20"/>
          <w:szCs w:val="20"/>
        </w:rPr>
        <w:t xml:space="preserve"> </w:t>
      </w:r>
      <w:r>
        <w:rPr>
          <w:rFonts w:ascii="Arial" w:hAnsi="Arial" w:cs="Arial"/>
          <w:sz w:val="20"/>
          <w:szCs w:val="20"/>
          <w:u w:val="single"/>
        </w:rPr>
        <w:t>Landing, W.M.</w:t>
      </w:r>
      <w:r>
        <w:rPr>
          <w:rFonts w:ascii="Arial" w:hAnsi="Arial" w:cs="Arial"/>
          <w:sz w:val="20"/>
          <w:szCs w:val="20"/>
        </w:rPr>
        <w:t xml:space="preserve"> (FSU, Earth, Ocean, and Atmospheric Science)</w:t>
      </w:r>
    </w:p>
    <w:p w:rsidR="00A94FC4" w:rsidRPr="006B3824" w:rsidRDefault="00A94FC4" w:rsidP="0049187D">
      <w:pPr>
        <w:pBdr>
          <w:bottom w:val="single" w:sz="12" w:space="1" w:color="auto"/>
        </w:pBdr>
        <w:tabs>
          <w:tab w:val="left" w:pos="360"/>
        </w:tabs>
        <w:rPr>
          <w:rFonts w:ascii="Arial" w:hAnsi="Arial" w:cs="Arial"/>
          <w:sz w:val="20"/>
          <w:szCs w:val="20"/>
        </w:rPr>
      </w:pPr>
    </w:p>
    <w:p w:rsidR="00A94FC4" w:rsidRPr="006B3824" w:rsidRDefault="00A94FC4" w:rsidP="0049187D">
      <w:pPr>
        <w:tabs>
          <w:tab w:val="left" w:pos="360"/>
        </w:tabs>
        <w:rPr>
          <w:rFonts w:ascii="Arial" w:hAnsi="Arial" w:cs="Arial"/>
          <w:sz w:val="20"/>
          <w:szCs w:val="20"/>
        </w:rPr>
      </w:pPr>
    </w:p>
    <w:p w:rsidR="00A94FC4" w:rsidRPr="002426D5" w:rsidRDefault="00A94FC4" w:rsidP="0049187D">
      <w:pPr>
        <w:tabs>
          <w:tab w:val="left" w:pos="360"/>
        </w:tabs>
        <w:rPr>
          <w:rFonts w:ascii="Arial" w:hAnsi="Arial" w:cs="Arial"/>
          <w:b/>
          <w:sz w:val="20"/>
          <w:szCs w:val="20"/>
        </w:rPr>
      </w:pPr>
      <w:r w:rsidRPr="006B3824">
        <w:rPr>
          <w:rFonts w:ascii="Arial" w:hAnsi="Arial" w:cs="Arial"/>
          <w:b/>
          <w:sz w:val="20"/>
          <w:szCs w:val="20"/>
        </w:rPr>
        <w:t>Introduction</w:t>
      </w:r>
    </w:p>
    <w:p w:rsidR="002524EE" w:rsidRPr="006B3824" w:rsidRDefault="006B3824" w:rsidP="001747EC">
      <w:pPr>
        <w:tabs>
          <w:tab w:val="left" w:pos="360"/>
        </w:tabs>
        <w:rPr>
          <w:rFonts w:ascii="Arial" w:hAnsi="Arial" w:cs="Arial"/>
          <w:sz w:val="20"/>
          <w:szCs w:val="20"/>
        </w:rPr>
      </w:pPr>
      <w:r w:rsidRPr="006B3824">
        <w:rPr>
          <w:rFonts w:ascii="Arial" w:hAnsi="Arial" w:cs="Arial"/>
          <w:sz w:val="20"/>
          <w:szCs w:val="20"/>
        </w:rPr>
        <w:tab/>
      </w:r>
      <w:r w:rsidR="001747EC" w:rsidRPr="00047E81">
        <w:rPr>
          <w:rFonts w:ascii="Arial" w:hAnsi="Arial" w:cs="Arial"/>
          <w:sz w:val="20"/>
          <w:szCs w:val="20"/>
        </w:rPr>
        <w:t xml:space="preserve">Natural and anthropogenic aerosols are a significant source of bioactive trace elements to ocean surface waters, often influencing the growth of marine microbial </w:t>
      </w:r>
      <w:proofErr w:type="gramStart"/>
      <w:r w:rsidR="001747EC" w:rsidRPr="00047E81">
        <w:rPr>
          <w:rFonts w:ascii="Arial" w:hAnsi="Arial" w:cs="Arial"/>
          <w:sz w:val="20"/>
          <w:szCs w:val="20"/>
        </w:rPr>
        <w:t>communities</w:t>
      </w:r>
      <w:r w:rsidR="001747EC" w:rsidRPr="00047E81">
        <w:rPr>
          <w:rFonts w:ascii="Arial" w:hAnsi="Arial" w:cs="Arial"/>
          <w:sz w:val="20"/>
          <w:szCs w:val="20"/>
          <w:vertAlign w:val="superscript"/>
        </w:rPr>
        <w:t>[</w:t>
      </w:r>
      <w:proofErr w:type="gramEnd"/>
      <w:r w:rsidR="001747EC" w:rsidRPr="00047E81">
        <w:rPr>
          <w:rFonts w:ascii="Arial" w:hAnsi="Arial" w:cs="Arial"/>
          <w:sz w:val="20"/>
          <w:szCs w:val="20"/>
          <w:vertAlign w:val="superscript"/>
        </w:rPr>
        <w:t>1,2]</w:t>
      </w:r>
      <w:r w:rsidR="001747EC" w:rsidRPr="00047E81">
        <w:rPr>
          <w:rFonts w:ascii="Arial" w:hAnsi="Arial" w:cs="Arial"/>
          <w:sz w:val="20"/>
          <w:szCs w:val="20"/>
        </w:rPr>
        <w:t xml:space="preserve">. Opportunistic, heterotrophic bacteria have been shown to experience an initial, rapid growth during atmospheric dust deposition </w:t>
      </w:r>
      <w:proofErr w:type="gramStart"/>
      <w:r w:rsidR="001747EC" w:rsidRPr="00047E81">
        <w:rPr>
          <w:rFonts w:ascii="Arial" w:hAnsi="Arial" w:cs="Arial"/>
          <w:sz w:val="20"/>
          <w:szCs w:val="20"/>
        </w:rPr>
        <w:t>events</w:t>
      </w:r>
      <w:r w:rsidR="001747EC" w:rsidRPr="00047E81">
        <w:rPr>
          <w:rFonts w:ascii="Arial" w:hAnsi="Arial" w:cs="Arial"/>
          <w:sz w:val="20"/>
          <w:szCs w:val="20"/>
          <w:vertAlign w:val="superscript"/>
        </w:rPr>
        <w:t>[</w:t>
      </w:r>
      <w:proofErr w:type="gramEnd"/>
      <w:r w:rsidR="001747EC" w:rsidRPr="00047E81">
        <w:rPr>
          <w:rFonts w:ascii="Arial" w:hAnsi="Arial" w:cs="Arial"/>
          <w:sz w:val="20"/>
          <w:szCs w:val="20"/>
          <w:vertAlign w:val="superscript"/>
        </w:rPr>
        <w:t>3,4,5]</w:t>
      </w:r>
      <w:r w:rsidR="001747EC" w:rsidRPr="00047E81">
        <w:rPr>
          <w:rFonts w:ascii="Arial" w:hAnsi="Arial" w:cs="Arial"/>
          <w:sz w:val="20"/>
          <w:szCs w:val="20"/>
        </w:rPr>
        <w:t xml:space="preserve"> that may influence trace element availability for other microorganisms</w:t>
      </w:r>
      <w:r w:rsidR="001747EC" w:rsidRPr="00047E81">
        <w:rPr>
          <w:rFonts w:ascii="Arial" w:hAnsi="Arial" w:cs="Arial"/>
          <w:sz w:val="20"/>
          <w:szCs w:val="20"/>
          <w:vertAlign w:val="superscript"/>
        </w:rPr>
        <w:t>[6]</w:t>
      </w:r>
      <w:r w:rsidR="001747EC" w:rsidRPr="00047E81">
        <w:rPr>
          <w:rFonts w:ascii="Arial" w:hAnsi="Arial" w:cs="Arial"/>
          <w:sz w:val="20"/>
          <w:szCs w:val="20"/>
        </w:rPr>
        <w:t xml:space="preserve">. There is, however, limited knowledge on the components of dust that stimulate this bacterial response. The principle objectives of this study are to determine which dust constituents stimulate the heterotrophic bacteria and how the </w:t>
      </w:r>
      <w:r w:rsidR="00903D53" w:rsidRPr="00047E81">
        <w:rPr>
          <w:rFonts w:ascii="Arial" w:hAnsi="Arial" w:cs="Arial"/>
          <w:sz w:val="20"/>
          <w:szCs w:val="20"/>
        </w:rPr>
        <w:t>activity of such bacteria affects</w:t>
      </w:r>
      <w:r w:rsidR="001747EC" w:rsidRPr="00047E81">
        <w:rPr>
          <w:rFonts w:ascii="Arial" w:hAnsi="Arial" w:cs="Arial"/>
          <w:sz w:val="20"/>
          <w:szCs w:val="20"/>
        </w:rPr>
        <w:t xml:space="preserve"> the availability of dust-derived trace</w:t>
      </w:r>
      <w:r w:rsidR="001747EC">
        <w:rPr>
          <w:rFonts w:ascii="Arial" w:hAnsi="Arial" w:cs="Arial"/>
          <w:sz w:val="20"/>
          <w:szCs w:val="20"/>
        </w:rPr>
        <w:t xml:space="preserve"> elements to marine autotrophs.</w:t>
      </w:r>
    </w:p>
    <w:p w:rsidR="00B75DC9" w:rsidRDefault="00B75DC9" w:rsidP="0049187D">
      <w:pPr>
        <w:tabs>
          <w:tab w:val="left" w:pos="360"/>
        </w:tabs>
        <w:rPr>
          <w:rFonts w:ascii="Arial" w:hAnsi="Arial" w:cs="Arial"/>
          <w:b/>
          <w:sz w:val="20"/>
          <w:szCs w:val="20"/>
        </w:rPr>
      </w:pPr>
    </w:p>
    <w:p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Experimental</w:t>
      </w:r>
    </w:p>
    <w:p w:rsidR="00FB4399" w:rsidRDefault="00EE71C8" w:rsidP="00FB4399">
      <w:pPr>
        <w:tabs>
          <w:tab w:val="left" w:pos="360"/>
        </w:tabs>
        <w:rPr>
          <w:rFonts w:ascii="Arial" w:hAnsi="Arial" w:cs="Arial"/>
          <w:sz w:val="20"/>
          <w:szCs w:val="20"/>
        </w:rPr>
      </w:pPr>
      <w:r>
        <w:rPr>
          <w:noProof/>
          <w:lang w:eastAsia="en-US"/>
        </w:rPr>
        <w:drawing>
          <wp:anchor distT="0" distB="0" distL="114300" distR="114300" simplePos="0" relativeHeight="251658752" behindDoc="0" locked="0" layoutInCell="1" allowOverlap="1" wp14:anchorId="77F50BC7" wp14:editId="0ED1C702">
            <wp:simplePos x="0" y="0"/>
            <wp:positionH relativeFrom="column">
              <wp:posOffset>3111500</wp:posOffset>
            </wp:positionH>
            <wp:positionV relativeFrom="paragraph">
              <wp:posOffset>1020445</wp:posOffset>
            </wp:positionV>
            <wp:extent cx="3416300" cy="1677670"/>
            <wp:effectExtent l="0" t="0" r="12700" b="0"/>
            <wp:wrapSquare wrapText="bothSides"/>
            <wp:docPr id="6" name="Picture 6" descr="Mag Lab Report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 Lab Report Figure 1"/>
                    <pic:cNvPicPr>
                      <a:picLocks noChangeAspect="1" noChangeArrowheads="1"/>
                    </pic:cNvPicPr>
                  </pic:nvPicPr>
                  <pic:blipFill>
                    <a:blip r:embed="rId11">
                      <a:extLst>
                        <a:ext uri="{28A0092B-C50C-407E-A947-70E740481C1C}">
                          <a14:useLocalDpi xmlns:a14="http://schemas.microsoft.com/office/drawing/2010/main" val="0"/>
                        </a:ext>
                      </a:extLst>
                    </a:blip>
                    <a:srcRect t="2727" b="59273"/>
                    <a:stretch>
                      <a:fillRect/>
                    </a:stretch>
                  </pic:blipFill>
                  <pic:spPr bwMode="auto">
                    <a:xfrm>
                      <a:off x="0" y="0"/>
                      <a:ext cx="3416300" cy="167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B3824">
        <w:rPr>
          <w:rFonts w:ascii="Arial" w:hAnsi="Arial" w:cs="Arial"/>
          <w:sz w:val="20"/>
          <w:szCs w:val="20"/>
        </w:rPr>
        <w:tab/>
      </w:r>
      <w:r w:rsidR="00903D53">
        <w:rPr>
          <w:rFonts w:ascii="Arial" w:hAnsi="Arial" w:cs="Arial"/>
          <w:sz w:val="20"/>
          <w:szCs w:val="20"/>
        </w:rPr>
        <w:t>Dissolved trace element concentrations were monitored during five incubation experiments of natural marine waters. Eight different treatments were conducted: control, filtrate blank (acts as control for dust addition), iron salt (FeCl</w:t>
      </w:r>
      <w:r w:rsidR="00145EDA" w:rsidRPr="00BA5EA4">
        <w:rPr>
          <w:rFonts w:ascii="Arial" w:hAnsi="Arial" w:cs="Arial"/>
          <w:sz w:val="20"/>
          <w:szCs w:val="20"/>
          <w:vertAlign w:val="subscript"/>
        </w:rPr>
        <w:t>3</w:t>
      </w:r>
      <w:r w:rsidR="00903D53">
        <w:rPr>
          <w:rFonts w:ascii="Arial" w:hAnsi="Arial" w:cs="Arial"/>
          <w:sz w:val="20"/>
          <w:szCs w:val="20"/>
        </w:rPr>
        <w:t>) addition, atmospheric dust addition, nitrogen (NO</w:t>
      </w:r>
      <w:r w:rsidR="00903D53" w:rsidRPr="00903D53">
        <w:rPr>
          <w:rFonts w:ascii="Arial" w:hAnsi="Arial" w:cs="Arial"/>
          <w:sz w:val="20"/>
          <w:szCs w:val="20"/>
          <w:vertAlign w:val="subscript"/>
        </w:rPr>
        <w:t>3</w:t>
      </w:r>
      <w:r w:rsidR="00903D53" w:rsidRPr="00903D53">
        <w:rPr>
          <w:rFonts w:ascii="Arial" w:hAnsi="Arial" w:cs="Arial"/>
          <w:sz w:val="20"/>
          <w:szCs w:val="20"/>
          <w:vertAlign w:val="superscript"/>
        </w:rPr>
        <w:t>-</w:t>
      </w:r>
      <w:r w:rsidR="00903D53">
        <w:rPr>
          <w:rFonts w:ascii="Arial" w:hAnsi="Arial" w:cs="Arial"/>
          <w:sz w:val="20"/>
          <w:szCs w:val="20"/>
        </w:rPr>
        <w:t>) addition, phosphorus (PO</w:t>
      </w:r>
      <w:r w:rsidR="00903D53" w:rsidRPr="00903D53">
        <w:rPr>
          <w:rFonts w:ascii="Arial" w:hAnsi="Arial" w:cs="Arial"/>
          <w:sz w:val="20"/>
          <w:szCs w:val="20"/>
          <w:vertAlign w:val="subscript"/>
        </w:rPr>
        <w:t>4</w:t>
      </w:r>
      <w:r w:rsidR="00903D53" w:rsidRPr="00903D53">
        <w:rPr>
          <w:rFonts w:ascii="Arial" w:hAnsi="Arial" w:cs="Arial"/>
          <w:sz w:val="20"/>
          <w:szCs w:val="20"/>
          <w:vertAlign w:val="superscript"/>
        </w:rPr>
        <w:t>-3</w:t>
      </w:r>
      <w:r w:rsidR="00903D53">
        <w:rPr>
          <w:rFonts w:ascii="Arial" w:hAnsi="Arial" w:cs="Arial"/>
          <w:sz w:val="20"/>
          <w:szCs w:val="20"/>
        </w:rPr>
        <w:t>) addition, carbon (DOC) addition, and a nutrient mixture (NO</w:t>
      </w:r>
      <w:r w:rsidR="00903D53" w:rsidRPr="00903D53">
        <w:rPr>
          <w:rFonts w:ascii="Arial" w:hAnsi="Arial" w:cs="Arial"/>
          <w:sz w:val="20"/>
          <w:szCs w:val="20"/>
          <w:vertAlign w:val="subscript"/>
        </w:rPr>
        <w:t>3</w:t>
      </w:r>
      <w:r w:rsidR="00903D53" w:rsidRPr="00903D53">
        <w:rPr>
          <w:rFonts w:ascii="Arial" w:hAnsi="Arial" w:cs="Arial"/>
          <w:sz w:val="20"/>
          <w:szCs w:val="20"/>
          <w:vertAlign w:val="superscript"/>
        </w:rPr>
        <w:t>-</w:t>
      </w:r>
      <w:r w:rsidR="00903D53">
        <w:rPr>
          <w:rFonts w:ascii="Arial" w:hAnsi="Arial" w:cs="Arial"/>
          <w:sz w:val="20"/>
          <w:szCs w:val="20"/>
        </w:rPr>
        <w:t>, PO</w:t>
      </w:r>
      <w:r w:rsidR="00903D53" w:rsidRPr="00903D53">
        <w:rPr>
          <w:rFonts w:ascii="Arial" w:hAnsi="Arial" w:cs="Arial"/>
          <w:sz w:val="20"/>
          <w:szCs w:val="20"/>
          <w:vertAlign w:val="subscript"/>
        </w:rPr>
        <w:t>4</w:t>
      </w:r>
      <w:r w:rsidR="00903D53" w:rsidRPr="00903D53">
        <w:rPr>
          <w:rFonts w:ascii="Arial" w:hAnsi="Arial" w:cs="Arial"/>
          <w:sz w:val="20"/>
          <w:szCs w:val="20"/>
          <w:vertAlign w:val="superscript"/>
        </w:rPr>
        <w:t>-3</w:t>
      </w:r>
      <w:r w:rsidR="00903D53">
        <w:rPr>
          <w:rFonts w:ascii="Arial" w:hAnsi="Arial" w:cs="Arial"/>
          <w:sz w:val="20"/>
          <w:szCs w:val="20"/>
        </w:rPr>
        <w:t>, DOC, and FeCl</w:t>
      </w:r>
      <w:r w:rsidR="00145EDA" w:rsidRPr="00BA5EA4">
        <w:rPr>
          <w:rFonts w:ascii="Arial" w:hAnsi="Arial" w:cs="Arial"/>
          <w:sz w:val="20"/>
          <w:szCs w:val="20"/>
          <w:vertAlign w:val="subscript"/>
        </w:rPr>
        <w:t>3</w:t>
      </w:r>
      <w:r w:rsidR="00903D53">
        <w:rPr>
          <w:rFonts w:ascii="Arial" w:hAnsi="Arial" w:cs="Arial"/>
          <w:sz w:val="20"/>
          <w:szCs w:val="20"/>
        </w:rPr>
        <w:t xml:space="preserve">). Seawater was sampled from the incubation containers at times 0, 4, 12, 24, and 36 hours. The samples were </w:t>
      </w:r>
      <w:r w:rsidR="00BA5EA4">
        <w:rPr>
          <w:rFonts w:ascii="Arial" w:hAnsi="Arial" w:cs="Arial"/>
          <w:sz w:val="20"/>
          <w:szCs w:val="20"/>
        </w:rPr>
        <w:t>analyzed</w:t>
      </w:r>
      <w:r w:rsidR="00903D53">
        <w:rPr>
          <w:rFonts w:ascii="Arial" w:hAnsi="Arial" w:cs="Arial"/>
          <w:sz w:val="20"/>
          <w:szCs w:val="20"/>
        </w:rPr>
        <w:t xml:space="preserve"> for dissolved trace elements (Al, Mn, Fe, C</w:t>
      </w:r>
      <w:r w:rsidR="00145EDA">
        <w:rPr>
          <w:rFonts w:ascii="Arial" w:hAnsi="Arial" w:cs="Arial"/>
          <w:sz w:val="20"/>
          <w:szCs w:val="20"/>
        </w:rPr>
        <w:t>o</w:t>
      </w:r>
      <w:r w:rsidR="00903D53">
        <w:rPr>
          <w:rFonts w:ascii="Arial" w:hAnsi="Arial" w:cs="Arial"/>
          <w:sz w:val="20"/>
          <w:szCs w:val="20"/>
        </w:rPr>
        <w:t xml:space="preserve">, Ni, Cu, Zn, Cd, and Pb) by pre-concentration </w:t>
      </w:r>
      <w:r w:rsidR="00903D53" w:rsidRPr="00047E81">
        <w:rPr>
          <w:rFonts w:ascii="Arial" w:hAnsi="Arial" w:cs="Arial"/>
          <w:sz w:val="20"/>
          <w:szCs w:val="20"/>
        </w:rPr>
        <w:t>onto a cation exchange column prior to analysis by high-resolution inductively-coupled plasma mass spectroscopy (HR-ICP-MS). A detailed description of the method can be found in Milne et al. (2010)</w:t>
      </w:r>
      <w:r w:rsidR="00903D53" w:rsidRPr="00047E81">
        <w:rPr>
          <w:rFonts w:ascii="Arial" w:hAnsi="Arial" w:cs="Arial"/>
          <w:sz w:val="20"/>
          <w:szCs w:val="20"/>
          <w:vertAlign w:val="superscript"/>
        </w:rPr>
        <w:t>[7]</w:t>
      </w:r>
      <w:r w:rsidR="00903D53" w:rsidRPr="00047E81">
        <w:rPr>
          <w:rFonts w:ascii="Arial" w:hAnsi="Arial" w:cs="Arial"/>
          <w:sz w:val="20"/>
          <w:szCs w:val="20"/>
        </w:rPr>
        <w:t xml:space="preserve">. The samples were analyzed using the Thermo Scientific Element 2 (E2) HR-ICP-MS </w:t>
      </w:r>
      <w:r w:rsidR="007B44CD">
        <w:rPr>
          <w:rFonts w:ascii="Arial" w:hAnsi="Arial" w:cs="Arial"/>
          <w:sz w:val="20"/>
          <w:szCs w:val="20"/>
        </w:rPr>
        <w:t>at</w:t>
      </w:r>
      <w:r w:rsidR="00903D53" w:rsidRPr="00047E81">
        <w:rPr>
          <w:rFonts w:ascii="Arial" w:hAnsi="Arial" w:cs="Arial"/>
          <w:sz w:val="20"/>
          <w:szCs w:val="20"/>
        </w:rPr>
        <w:t xml:space="preserve"> the Geochemistry</w:t>
      </w:r>
      <w:r w:rsidR="00903D53">
        <w:rPr>
          <w:rFonts w:ascii="Arial" w:hAnsi="Arial" w:cs="Arial"/>
          <w:sz w:val="20"/>
          <w:szCs w:val="20"/>
        </w:rPr>
        <w:t xml:space="preserve"> </w:t>
      </w:r>
      <w:r w:rsidR="007B44CD">
        <w:rPr>
          <w:rFonts w:ascii="Arial" w:hAnsi="Arial" w:cs="Arial"/>
          <w:sz w:val="20"/>
          <w:szCs w:val="20"/>
        </w:rPr>
        <w:t xml:space="preserve">Program </w:t>
      </w:r>
      <w:r w:rsidR="00903D53">
        <w:rPr>
          <w:rFonts w:ascii="Arial" w:hAnsi="Arial" w:cs="Arial"/>
          <w:sz w:val="20"/>
          <w:szCs w:val="20"/>
        </w:rPr>
        <w:t>of the NHMFL.</w:t>
      </w:r>
    </w:p>
    <w:p w:rsidR="002524EE" w:rsidRPr="006B3824" w:rsidRDefault="002524EE" w:rsidP="0049187D">
      <w:pPr>
        <w:tabs>
          <w:tab w:val="left" w:pos="360"/>
        </w:tabs>
        <w:rPr>
          <w:rFonts w:ascii="Arial" w:hAnsi="Arial" w:cs="Arial"/>
          <w:sz w:val="20"/>
          <w:szCs w:val="20"/>
        </w:rPr>
      </w:pPr>
    </w:p>
    <w:p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Results and Discussion</w:t>
      </w:r>
    </w:p>
    <w:p w:rsidR="00E25473" w:rsidRDefault="00586F32" w:rsidP="0049187D">
      <w:pPr>
        <w:tabs>
          <w:tab w:val="left" w:pos="360"/>
        </w:tabs>
        <w:rPr>
          <w:rFonts w:ascii="Arial" w:hAnsi="Arial" w:cs="Arial"/>
          <w:sz w:val="20"/>
          <w:szCs w:val="20"/>
        </w:rPr>
      </w:pPr>
      <w:r>
        <w:rPr>
          <w:noProof/>
          <w:lang w:eastAsia="en-US"/>
        </w:rPr>
        <mc:AlternateContent>
          <mc:Choice Requires="wps">
            <w:drawing>
              <wp:anchor distT="0" distB="0" distL="114300" distR="114300" simplePos="0" relativeHeight="251657728" behindDoc="0" locked="0" layoutInCell="1" allowOverlap="1" wp14:anchorId="059035C5" wp14:editId="086B8D3A">
                <wp:simplePos x="0" y="0"/>
                <wp:positionH relativeFrom="column">
                  <wp:posOffset>3810000</wp:posOffset>
                </wp:positionH>
                <wp:positionV relativeFrom="paragraph">
                  <wp:posOffset>1221740</wp:posOffset>
                </wp:positionV>
                <wp:extent cx="3015615" cy="1009650"/>
                <wp:effectExtent l="0" t="0" r="6985" b="6350"/>
                <wp:wrapThrough wrapText="bothSides">
                  <wp:wrapPolygon edited="0">
                    <wp:start x="0" y="0"/>
                    <wp:lineTo x="0" y="21192"/>
                    <wp:lineTo x="21468" y="21192"/>
                    <wp:lineTo x="21468"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D2C" w:rsidRPr="002426D5" w:rsidRDefault="00376D2C" w:rsidP="00376D2C">
                            <w:pPr>
                              <w:rPr>
                                <w:rFonts w:ascii="Arial" w:hAnsi="Arial" w:cs="Arial"/>
                                <w:sz w:val="18"/>
                                <w:szCs w:val="18"/>
                              </w:rPr>
                            </w:pPr>
                            <w:r w:rsidRPr="00AD3CDD">
                              <w:rPr>
                                <w:rFonts w:ascii="Arial" w:hAnsi="Arial" w:cs="Arial"/>
                                <w:b/>
                                <w:sz w:val="18"/>
                                <w:szCs w:val="18"/>
                              </w:rPr>
                              <w:t>Table I</w:t>
                            </w:r>
                            <w:r w:rsidRPr="002426D5">
                              <w:rPr>
                                <w:rFonts w:ascii="Arial" w:hAnsi="Arial" w:cs="Arial"/>
                                <w:sz w:val="18"/>
                                <w:szCs w:val="18"/>
                              </w:rPr>
                              <w:t xml:space="preserve"> </w:t>
                            </w:r>
                            <w:r w:rsidR="004A7F73">
                              <w:rPr>
                                <w:rFonts w:ascii="Arial" w:hAnsi="Arial" w:cs="Arial"/>
                                <w:sz w:val="18"/>
                                <w:szCs w:val="18"/>
                              </w:rPr>
                              <w:t>Loss of iron over time from the different incubation treatments.</w:t>
                            </w:r>
                            <w:r w:rsidR="00CA6D78">
                              <w:rPr>
                                <w:rFonts w:ascii="Arial" w:hAnsi="Arial" w:cs="Arial"/>
                                <w:sz w:val="18"/>
                                <w:szCs w:val="18"/>
                              </w:rPr>
                              <w:t xml:space="preserve"> The p-value indicates</w:t>
                            </w:r>
                            <w:r w:rsidR="00061E33">
                              <w:rPr>
                                <w:rFonts w:ascii="Arial" w:hAnsi="Arial" w:cs="Arial"/>
                                <w:sz w:val="18"/>
                                <w:szCs w:val="18"/>
                              </w:rPr>
                              <w:t xml:space="preserve"> a significant difference between the FeCl</w:t>
                            </w:r>
                            <w:r w:rsidR="00061E33" w:rsidRPr="00061E33">
                              <w:rPr>
                                <w:rFonts w:ascii="Arial" w:hAnsi="Arial" w:cs="Arial"/>
                                <w:sz w:val="18"/>
                                <w:szCs w:val="18"/>
                                <w:vertAlign w:val="subscript"/>
                              </w:rPr>
                              <w:t>3</w:t>
                            </w:r>
                            <w:r w:rsidR="00061E33">
                              <w:rPr>
                                <w:rFonts w:ascii="Arial" w:hAnsi="Arial" w:cs="Arial"/>
                                <w:sz w:val="18"/>
                                <w:szCs w:val="18"/>
                              </w:rPr>
                              <w:t xml:space="preserve"> treatment </w:t>
                            </w:r>
                            <w:r w:rsidR="00BC4262">
                              <w:rPr>
                                <w:rFonts w:ascii="Arial" w:hAnsi="Arial" w:cs="Arial"/>
                                <w:sz w:val="18"/>
                                <w:szCs w:val="18"/>
                              </w:rPr>
                              <w:t>(A) and the control</w:t>
                            </w:r>
                            <w:r w:rsidR="00CA6D78">
                              <w:rPr>
                                <w:rFonts w:ascii="Arial" w:hAnsi="Arial" w:cs="Arial"/>
                                <w:sz w:val="18"/>
                                <w:szCs w:val="18"/>
                              </w:rPr>
                              <w:t>, filtrate blank, NO</w:t>
                            </w:r>
                            <w:r w:rsidR="00CA6D78" w:rsidRPr="00CA6D78">
                              <w:rPr>
                                <w:rFonts w:ascii="Arial" w:hAnsi="Arial" w:cs="Arial"/>
                                <w:sz w:val="18"/>
                                <w:szCs w:val="18"/>
                                <w:vertAlign w:val="subscript"/>
                              </w:rPr>
                              <w:t>3</w:t>
                            </w:r>
                            <w:r w:rsidR="00CA6D78" w:rsidRPr="00CA6D78">
                              <w:rPr>
                                <w:rFonts w:ascii="Arial" w:hAnsi="Arial" w:cs="Arial"/>
                                <w:sz w:val="18"/>
                                <w:szCs w:val="18"/>
                                <w:vertAlign w:val="superscript"/>
                              </w:rPr>
                              <w:t>-</w:t>
                            </w:r>
                            <w:r w:rsidR="00CA6D78">
                              <w:rPr>
                                <w:rFonts w:ascii="Arial" w:hAnsi="Arial" w:cs="Arial"/>
                                <w:sz w:val="18"/>
                                <w:szCs w:val="18"/>
                              </w:rPr>
                              <w:t>, PO</w:t>
                            </w:r>
                            <w:r w:rsidR="00CA6D78" w:rsidRPr="00CA6D78">
                              <w:rPr>
                                <w:rFonts w:ascii="Arial" w:hAnsi="Arial" w:cs="Arial"/>
                                <w:sz w:val="18"/>
                                <w:szCs w:val="18"/>
                                <w:vertAlign w:val="subscript"/>
                              </w:rPr>
                              <w:t>4</w:t>
                            </w:r>
                            <w:r w:rsidR="00CA6D78" w:rsidRPr="00CA6D78">
                              <w:rPr>
                                <w:rFonts w:ascii="Arial" w:hAnsi="Arial" w:cs="Arial"/>
                                <w:sz w:val="18"/>
                                <w:szCs w:val="18"/>
                                <w:vertAlign w:val="superscript"/>
                              </w:rPr>
                              <w:t>-3</w:t>
                            </w:r>
                            <w:r w:rsidR="00CA6D78">
                              <w:rPr>
                                <w:rFonts w:ascii="Arial" w:hAnsi="Arial" w:cs="Arial"/>
                                <w:sz w:val="18"/>
                                <w:szCs w:val="18"/>
                              </w:rPr>
                              <w:t>, and DOC treatments</w:t>
                            </w:r>
                            <w:r w:rsidR="00BC4262">
                              <w:rPr>
                                <w:rFonts w:ascii="Arial" w:hAnsi="Arial" w:cs="Arial"/>
                                <w:sz w:val="18"/>
                                <w:szCs w:val="18"/>
                              </w:rPr>
                              <w:t xml:space="preserve"> (B). The dust and nutrient mix treatments show</w:t>
                            </w:r>
                            <w:r w:rsidR="00CA6D78">
                              <w:rPr>
                                <w:rFonts w:ascii="Arial" w:hAnsi="Arial" w:cs="Arial"/>
                                <w:sz w:val="18"/>
                                <w:szCs w:val="18"/>
                              </w:rPr>
                              <w:t>ed</w:t>
                            </w:r>
                            <w:r w:rsidR="00BC4262">
                              <w:rPr>
                                <w:rFonts w:ascii="Arial" w:hAnsi="Arial" w:cs="Arial"/>
                                <w:sz w:val="18"/>
                                <w:szCs w:val="18"/>
                              </w:rPr>
                              <w:t xml:space="preserve"> no significant difference between the </w:t>
                            </w:r>
                            <w:r w:rsidR="00CA6D78">
                              <w:rPr>
                                <w:rFonts w:ascii="Arial" w:hAnsi="Arial" w:cs="Arial"/>
                                <w:sz w:val="18"/>
                                <w:szCs w:val="18"/>
                              </w:rPr>
                              <w:t>other treatments (AB).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300pt;margin-top:96.2pt;width:237.45pt;height: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" stroked="f">
                <v:textbox>
                  <w:txbxContent>
                    <w:p w:rsidR="00376D2C" w:rsidRPr="002426D5" w:rsidRDefault="00376D2C" w:rsidP="00376D2C">
                      <w:pPr>
                        <w:rPr>
                          <w:rFonts w:ascii="Arial" w:hAnsi="Arial" w:cs="Arial"/>
                          <w:sz w:val="18"/>
                          <w:szCs w:val="18"/>
                        </w:rPr>
                      </w:pPr>
                      <w:r w:rsidRPr="00AD3CDD">
                        <w:rPr>
                          <w:rFonts w:ascii="Arial" w:hAnsi="Arial" w:cs="Arial"/>
                          <w:b/>
                          <w:sz w:val="18"/>
                          <w:szCs w:val="18"/>
                        </w:rPr>
                        <w:t>Table I</w:t>
                      </w:r>
                      <w:r w:rsidRPr="002426D5">
                        <w:rPr>
                          <w:rFonts w:ascii="Arial" w:hAnsi="Arial" w:cs="Arial"/>
                          <w:sz w:val="18"/>
                          <w:szCs w:val="18"/>
                        </w:rPr>
                        <w:t xml:space="preserve"> </w:t>
                      </w:r>
                      <w:r w:rsidR="004A7F73">
                        <w:rPr>
                          <w:rFonts w:ascii="Arial" w:hAnsi="Arial" w:cs="Arial"/>
                          <w:sz w:val="18"/>
                          <w:szCs w:val="18"/>
                        </w:rPr>
                        <w:t>Loss of iron over time from the different incubation treatments.</w:t>
                      </w:r>
                      <w:r w:rsidR="00CA6D78">
                        <w:rPr>
                          <w:rFonts w:ascii="Arial" w:hAnsi="Arial" w:cs="Arial"/>
                          <w:sz w:val="18"/>
                          <w:szCs w:val="18"/>
                        </w:rPr>
                        <w:t xml:space="preserve"> The p-value indicates</w:t>
                      </w:r>
                      <w:r w:rsidR="00061E33">
                        <w:rPr>
                          <w:rFonts w:ascii="Arial" w:hAnsi="Arial" w:cs="Arial"/>
                          <w:sz w:val="18"/>
                          <w:szCs w:val="18"/>
                        </w:rPr>
                        <w:t xml:space="preserve"> a significant difference between the FeCl</w:t>
                      </w:r>
                      <w:r w:rsidR="00061E33" w:rsidRPr="00061E33">
                        <w:rPr>
                          <w:rFonts w:ascii="Arial" w:hAnsi="Arial" w:cs="Arial"/>
                          <w:sz w:val="18"/>
                          <w:szCs w:val="18"/>
                          <w:vertAlign w:val="subscript"/>
                        </w:rPr>
                        <w:t>3</w:t>
                      </w:r>
                      <w:r w:rsidR="00061E33">
                        <w:rPr>
                          <w:rFonts w:ascii="Arial" w:hAnsi="Arial" w:cs="Arial"/>
                          <w:sz w:val="18"/>
                          <w:szCs w:val="18"/>
                        </w:rPr>
                        <w:t xml:space="preserve"> treatment </w:t>
                      </w:r>
                      <w:r w:rsidR="00BC4262">
                        <w:rPr>
                          <w:rFonts w:ascii="Arial" w:hAnsi="Arial" w:cs="Arial"/>
                          <w:sz w:val="18"/>
                          <w:szCs w:val="18"/>
                        </w:rPr>
                        <w:t>(A) and the control</w:t>
                      </w:r>
                      <w:r w:rsidR="00CA6D78">
                        <w:rPr>
                          <w:rFonts w:ascii="Arial" w:hAnsi="Arial" w:cs="Arial"/>
                          <w:sz w:val="18"/>
                          <w:szCs w:val="18"/>
                        </w:rPr>
                        <w:t>, filtrate blank, NO</w:t>
                      </w:r>
                      <w:r w:rsidR="00CA6D78" w:rsidRPr="00CA6D78">
                        <w:rPr>
                          <w:rFonts w:ascii="Arial" w:hAnsi="Arial" w:cs="Arial"/>
                          <w:sz w:val="18"/>
                          <w:szCs w:val="18"/>
                          <w:vertAlign w:val="subscript"/>
                        </w:rPr>
                        <w:t>3</w:t>
                      </w:r>
                      <w:r w:rsidR="00CA6D78" w:rsidRPr="00CA6D78">
                        <w:rPr>
                          <w:rFonts w:ascii="Arial" w:hAnsi="Arial" w:cs="Arial"/>
                          <w:sz w:val="18"/>
                          <w:szCs w:val="18"/>
                          <w:vertAlign w:val="superscript"/>
                        </w:rPr>
                        <w:t>-</w:t>
                      </w:r>
                      <w:r w:rsidR="00CA6D78">
                        <w:rPr>
                          <w:rFonts w:ascii="Arial" w:hAnsi="Arial" w:cs="Arial"/>
                          <w:sz w:val="18"/>
                          <w:szCs w:val="18"/>
                        </w:rPr>
                        <w:t>, PO</w:t>
                      </w:r>
                      <w:r w:rsidR="00CA6D78" w:rsidRPr="00CA6D78">
                        <w:rPr>
                          <w:rFonts w:ascii="Arial" w:hAnsi="Arial" w:cs="Arial"/>
                          <w:sz w:val="18"/>
                          <w:szCs w:val="18"/>
                          <w:vertAlign w:val="subscript"/>
                        </w:rPr>
                        <w:t>4</w:t>
                      </w:r>
                      <w:r w:rsidR="00CA6D78" w:rsidRPr="00CA6D78">
                        <w:rPr>
                          <w:rFonts w:ascii="Arial" w:hAnsi="Arial" w:cs="Arial"/>
                          <w:sz w:val="18"/>
                          <w:szCs w:val="18"/>
                          <w:vertAlign w:val="superscript"/>
                        </w:rPr>
                        <w:t>-3</w:t>
                      </w:r>
                      <w:r w:rsidR="00CA6D78">
                        <w:rPr>
                          <w:rFonts w:ascii="Arial" w:hAnsi="Arial" w:cs="Arial"/>
                          <w:sz w:val="18"/>
                          <w:szCs w:val="18"/>
                        </w:rPr>
                        <w:t>, and DOC treatments</w:t>
                      </w:r>
                      <w:r w:rsidR="00BC4262">
                        <w:rPr>
                          <w:rFonts w:ascii="Arial" w:hAnsi="Arial" w:cs="Arial"/>
                          <w:sz w:val="18"/>
                          <w:szCs w:val="18"/>
                        </w:rPr>
                        <w:t xml:space="preserve"> (B). The dust and nutrient mix treatments show</w:t>
                      </w:r>
                      <w:r w:rsidR="00CA6D78">
                        <w:rPr>
                          <w:rFonts w:ascii="Arial" w:hAnsi="Arial" w:cs="Arial"/>
                          <w:sz w:val="18"/>
                          <w:szCs w:val="18"/>
                        </w:rPr>
                        <w:t>ed</w:t>
                      </w:r>
                      <w:r w:rsidR="00BC4262">
                        <w:rPr>
                          <w:rFonts w:ascii="Arial" w:hAnsi="Arial" w:cs="Arial"/>
                          <w:sz w:val="18"/>
                          <w:szCs w:val="18"/>
                        </w:rPr>
                        <w:t xml:space="preserve"> no significant difference between the </w:t>
                      </w:r>
                      <w:r w:rsidR="00CA6D78">
                        <w:rPr>
                          <w:rFonts w:ascii="Arial" w:hAnsi="Arial" w:cs="Arial"/>
                          <w:sz w:val="18"/>
                          <w:szCs w:val="18"/>
                        </w:rPr>
                        <w:t>other treatments (AB).</w:t>
                      </w:r>
                    </w:p>
                  </w:txbxContent>
                </v:textbox>
                <w10:wrap type="through"/>
              </v:shape>
            </w:pict>
          </mc:Fallback>
        </mc:AlternateContent>
      </w:r>
      <w:r>
        <w:rPr>
          <w:noProof/>
          <w:lang w:eastAsia="en-US"/>
        </w:rPr>
        <mc:AlternateContent>
          <mc:Choice Requires="wps">
            <w:drawing>
              <wp:anchor distT="0" distB="0" distL="114300" distR="114300" simplePos="0" relativeHeight="251656704" behindDoc="0" locked="0" layoutInCell="1" allowOverlap="1" wp14:anchorId="56B1A48A" wp14:editId="7802269C">
                <wp:simplePos x="0" y="0"/>
                <wp:positionH relativeFrom="column">
                  <wp:posOffset>3175000</wp:posOffset>
                </wp:positionH>
                <wp:positionV relativeFrom="paragraph">
                  <wp:posOffset>617220</wp:posOffset>
                </wp:positionV>
                <wp:extent cx="3175000" cy="518160"/>
                <wp:effectExtent l="0" t="0" r="0" b="0"/>
                <wp:wrapThrough wrapText="bothSides">
                  <wp:wrapPolygon edited="0">
                    <wp:start x="0" y="0"/>
                    <wp:lineTo x="0" y="20118"/>
                    <wp:lineTo x="21427" y="20118"/>
                    <wp:lineTo x="21427"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D2C" w:rsidRPr="00376D2C" w:rsidRDefault="00376D2C" w:rsidP="00376D2C">
                            <w:pPr>
                              <w:rPr>
                                <w:rFonts w:ascii="Arial" w:hAnsi="Arial" w:cs="Arial"/>
                                <w:sz w:val="18"/>
                                <w:szCs w:val="18"/>
                              </w:rPr>
                            </w:pPr>
                            <w:r w:rsidRPr="00AD3CDD">
                              <w:rPr>
                                <w:rFonts w:ascii="Arial" w:hAnsi="Arial" w:cs="Arial"/>
                                <w:b/>
                                <w:sz w:val="18"/>
                                <w:szCs w:val="18"/>
                              </w:rPr>
                              <w:t>Fig.1</w:t>
                            </w:r>
                            <w:r w:rsidRPr="00376D2C">
                              <w:rPr>
                                <w:rFonts w:ascii="Arial" w:hAnsi="Arial" w:cs="Arial"/>
                                <w:sz w:val="18"/>
                                <w:szCs w:val="18"/>
                              </w:rPr>
                              <w:t xml:space="preserve"> </w:t>
                            </w:r>
                            <w:r w:rsidR="00167FC4">
                              <w:rPr>
                                <w:rFonts w:ascii="Arial" w:hAnsi="Arial" w:cs="Arial"/>
                                <w:sz w:val="18"/>
                              </w:rPr>
                              <w:t xml:space="preserve">The average dissolved Fe concentrations in the </w:t>
                            </w:r>
                            <w:r w:rsidR="003842C3">
                              <w:rPr>
                                <w:rFonts w:ascii="Arial" w:hAnsi="Arial" w:cs="Arial"/>
                                <w:sz w:val="18"/>
                              </w:rPr>
                              <w:t>eight</w:t>
                            </w:r>
                            <w:r w:rsidR="00167FC4">
                              <w:rPr>
                                <w:rFonts w:ascii="Arial" w:hAnsi="Arial" w:cs="Arial"/>
                                <w:sz w:val="18"/>
                              </w:rPr>
                              <w:t xml:space="preserve"> different in</w:t>
                            </w:r>
                            <w:bookmarkStart w:id="0" w:name="_GoBack"/>
                            <w:bookmarkEnd w:id="0"/>
                            <w:r w:rsidR="00167FC4">
                              <w:rPr>
                                <w:rFonts w:ascii="Arial" w:hAnsi="Arial" w:cs="Arial"/>
                                <w:sz w:val="18"/>
                              </w:rPr>
                              <w:t>cubation experiments over time. Error bars in</w:t>
                            </w:r>
                            <w:r w:rsidR="003842C3">
                              <w:rPr>
                                <w:rFonts w:ascii="Arial" w:hAnsi="Arial" w:cs="Arial"/>
                                <w:sz w:val="18"/>
                              </w:rPr>
                              <w:t>dicate standard deviation (n =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250pt;margin-top:48.6pt;width:250pt;height:4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" stroked="f">
                <v:textbox>
                  <w:txbxContent>
                    <w:p w:rsidR="00376D2C" w:rsidRPr="00376D2C" w:rsidRDefault="00376D2C" w:rsidP="00376D2C">
                      <w:pPr>
                        <w:rPr>
                          <w:rFonts w:ascii="Arial" w:hAnsi="Arial" w:cs="Arial"/>
                          <w:sz w:val="18"/>
                          <w:szCs w:val="18"/>
                        </w:rPr>
                      </w:pPr>
                      <w:r w:rsidRPr="00AD3CDD">
                        <w:rPr>
                          <w:rFonts w:ascii="Arial" w:hAnsi="Arial" w:cs="Arial"/>
                          <w:b/>
                          <w:sz w:val="18"/>
                          <w:szCs w:val="18"/>
                        </w:rPr>
                        <w:t>Fig.1</w:t>
                      </w:r>
                      <w:r w:rsidRPr="00376D2C">
                        <w:rPr>
                          <w:rFonts w:ascii="Arial" w:hAnsi="Arial" w:cs="Arial"/>
                          <w:sz w:val="18"/>
                          <w:szCs w:val="18"/>
                        </w:rPr>
                        <w:t xml:space="preserve"> </w:t>
                      </w:r>
                      <w:r w:rsidR="00167FC4">
                        <w:rPr>
                          <w:rFonts w:ascii="Arial" w:hAnsi="Arial" w:cs="Arial"/>
                          <w:sz w:val="18"/>
                        </w:rPr>
                        <w:t xml:space="preserve">The average dissolved Fe concentrations in the </w:t>
                      </w:r>
                      <w:r w:rsidR="003842C3">
                        <w:rPr>
                          <w:rFonts w:ascii="Arial" w:hAnsi="Arial" w:cs="Arial"/>
                          <w:sz w:val="18"/>
                        </w:rPr>
                        <w:t>eight</w:t>
                      </w:r>
                      <w:r w:rsidR="00167FC4">
                        <w:rPr>
                          <w:rFonts w:ascii="Arial" w:hAnsi="Arial" w:cs="Arial"/>
                          <w:sz w:val="18"/>
                        </w:rPr>
                        <w:t xml:space="preserve"> different incubation experiments over time. Error bars in</w:t>
                      </w:r>
                      <w:r w:rsidR="003842C3">
                        <w:rPr>
                          <w:rFonts w:ascii="Arial" w:hAnsi="Arial" w:cs="Arial"/>
                          <w:sz w:val="18"/>
                        </w:rPr>
                        <w:t>dicate standard deviation (n = 5).</w:t>
                      </w:r>
                    </w:p>
                  </w:txbxContent>
                </v:textbox>
                <w10:wrap type="through"/>
              </v:shape>
            </w:pict>
          </mc:Fallback>
        </mc:AlternateContent>
      </w:r>
      <w:r w:rsidR="006B3824">
        <w:rPr>
          <w:rFonts w:ascii="Arial" w:hAnsi="Arial" w:cs="Arial"/>
          <w:sz w:val="20"/>
          <w:szCs w:val="20"/>
        </w:rPr>
        <w:tab/>
      </w:r>
      <w:r w:rsidR="00167FC4" w:rsidRPr="00047E81">
        <w:rPr>
          <w:rFonts w:ascii="Arial" w:hAnsi="Arial" w:cs="Arial"/>
          <w:sz w:val="20"/>
          <w:szCs w:val="20"/>
        </w:rPr>
        <w:t>Iron</w:t>
      </w:r>
      <w:r w:rsidR="00314F09">
        <w:rPr>
          <w:rFonts w:ascii="Arial" w:hAnsi="Arial" w:cs="Arial"/>
          <w:sz w:val="20"/>
          <w:szCs w:val="20"/>
        </w:rPr>
        <w:t xml:space="preserve">, as an essential micronutrient, </w:t>
      </w:r>
      <w:r w:rsidR="00167FC4" w:rsidRPr="00047E81">
        <w:rPr>
          <w:rFonts w:ascii="Arial" w:hAnsi="Arial" w:cs="Arial"/>
          <w:sz w:val="20"/>
          <w:szCs w:val="20"/>
        </w:rPr>
        <w:t>was the initial focus of our experiment</w:t>
      </w:r>
      <w:r w:rsidR="00314F09">
        <w:rPr>
          <w:rFonts w:ascii="Arial" w:hAnsi="Arial" w:cs="Arial"/>
          <w:sz w:val="20"/>
          <w:szCs w:val="20"/>
        </w:rPr>
        <w:t>.</w:t>
      </w:r>
      <w:r w:rsidR="00167FC4" w:rsidRPr="00047E81">
        <w:rPr>
          <w:rFonts w:ascii="Arial" w:hAnsi="Arial" w:cs="Arial"/>
          <w:sz w:val="20"/>
          <w:szCs w:val="20"/>
        </w:rPr>
        <w:t xml:space="preserve"> The </w:t>
      </w:r>
      <w:r w:rsidR="00314F09">
        <w:rPr>
          <w:rFonts w:ascii="Arial" w:hAnsi="Arial" w:cs="Arial"/>
          <w:sz w:val="20"/>
          <w:szCs w:val="20"/>
        </w:rPr>
        <w:t xml:space="preserve">average </w:t>
      </w:r>
      <w:r w:rsidR="00167FC4" w:rsidRPr="00047E81">
        <w:rPr>
          <w:rFonts w:ascii="Arial" w:hAnsi="Arial" w:cs="Arial"/>
          <w:sz w:val="20"/>
          <w:szCs w:val="20"/>
        </w:rPr>
        <w:t xml:space="preserve">dissolved iron concentrations for </w:t>
      </w:r>
      <w:r w:rsidR="00F927E9">
        <w:rPr>
          <w:rFonts w:ascii="Arial" w:hAnsi="Arial" w:cs="Arial"/>
          <w:sz w:val="20"/>
          <w:szCs w:val="20"/>
        </w:rPr>
        <w:t xml:space="preserve">the </w:t>
      </w:r>
      <w:r w:rsidR="00167FC4">
        <w:rPr>
          <w:rFonts w:ascii="Arial" w:hAnsi="Arial" w:cs="Arial"/>
          <w:sz w:val="20"/>
          <w:szCs w:val="20"/>
        </w:rPr>
        <w:t xml:space="preserve">addition </w:t>
      </w:r>
      <w:r w:rsidR="00167FC4" w:rsidRPr="00047E81">
        <w:rPr>
          <w:rFonts w:ascii="Arial" w:hAnsi="Arial" w:cs="Arial"/>
          <w:sz w:val="20"/>
          <w:szCs w:val="20"/>
        </w:rPr>
        <w:t>experiment</w:t>
      </w:r>
      <w:r w:rsidR="00167FC4">
        <w:rPr>
          <w:rFonts w:ascii="Arial" w:hAnsi="Arial" w:cs="Arial"/>
          <w:sz w:val="20"/>
          <w:szCs w:val="20"/>
        </w:rPr>
        <w:t>s</w:t>
      </w:r>
      <w:r w:rsidR="00167FC4" w:rsidRPr="00047E81">
        <w:rPr>
          <w:rFonts w:ascii="Arial" w:hAnsi="Arial" w:cs="Arial"/>
          <w:sz w:val="20"/>
          <w:szCs w:val="20"/>
        </w:rPr>
        <w:t xml:space="preserve"> over time are shown in Fig. 1. Linear regression was performed on each treatment over time to dete</w:t>
      </w:r>
      <w:r w:rsidR="004A7F73">
        <w:rPr>
          <w:rFonts w:ascii="Arial" w:hAnsi="Arial" w:cs="Arial"/>
          <w:sz w:val="20"/>
          <w:szCs w:val="20"/>
        </w:rPr>
        <w:t>rmine the rate of loss of iron.</w:t>
      </w:r>
      <w:r w:rsidR="003842C3">
        <w:rPr>
          <w:rFonts w:ascii="Arial" w:hAnsi="Arial" w:cs="Arial"/>
          <w:sz w:val="20"/>
          <w:szCs w:val="20"/>
        </w:rPr>
        <w:t xml:space="preserve"> The treatments had similar rates of iron loss</w:t>
      </w:r>
      <w:r w:rsidR="00F927E9">
        <w:rPr>
          <w:rFonts w:ascii="Arial" w:hAnsi="Arial" w:cs="Arial"/>
          <w:sz w:val="20"/>
          <w:szCs w:val="20"/>
        </w:rPr>
        <w:t xml:space="preserve"> (Table 1)</w:t>
      </w:r>
      <w:r w:rsidR="003842C3">
        <w:rPr>
          <w:rFonts w:ascii="Arial" w:hAnsi="Arial" w:cs="Arial"/>
          <w:sz w:val="20"/>
          <w:szCs w:val="20"/>
        </w:rPr>
        <w:t xml:space="preserve">. </w:t>
      </w:r>
      <w:r w:rsidR="00314F09">
        <w:rPr>
          <w:rFonts w:ascii="Arial" w:hAnsi="Arial" w:cs="Arial"/>
          <w:sz w:val="20"/>
          <w:szCs w:val="20"/>
        </w:rPr>
        <w:t>Only t</w:t>
      </w:r>
      <w:r w:rsidR="003842C3">
        <w:rPr>
          <w:rFonts w:ascii="Arial" w:hAnsi="Arial" w:cs="Arial"/>
          <w:sz w:val="20"/>
          <w:szCs w:val="20"/>
        </w:rPr>
        <w:t>he FeCl</w:t>
      </w:r>
      <w:r w:rsidR="00145EDA" w:rsidRPr="00BA5EA4">
        <w:rPr>
          <w:rFonts w:ascii="Arial" w:hAnsi="Arial" w:cs="Arial"/>
          <w:sz w:val="20"/>
          <w:szCs w:val="20"/>
          <w:vertAlign w:val="subscript"/>
        </w:rPr>
        <w:t>3</w:t>
      </w:r>
      <w:r w:rsidR="003842C3">
        <w:rPr>
          <w:rFonts w:ascii="Arial" w:hAnsi="Arial" w:cs="Arial"/>
          <w:sz w:val="20"/>
          <w:szCs w:val="20"/>
        </w:rPr>
        <w:t xml:space="preserve"> </w:t>
      </w:r>
      <w:r w:rsidR="00314F09">
        <w:rPr>
          <w:rFonts w:ascii="Arial" w:hAnsi="Arial" w:cs="Arial"/>
          <w:sz w:val="20"/>
          <w:szCs w:val="20"/>
        </w:rPr>
        <w:t xml:space="preserve">treatment </w:t>
      </w:r>
      <w:r w:rsidR="003842C3">
        <w:rPr>
          <w:rFonts w:ascii="Arial" w:hAnsi="Arial" w:cs="Arial"/>
          <w:sz w:val="20"/>
          <w:szCs w:val="20"/>
        </w:rPr>
        <w:t xml:space="preserve">showed a higher </w:t>
      </w:r>
      <w:r w:rsidR="00145EDA">
        <w:rPr>
          <w:rFonts w:ascii="Arial" w:hAnsi="Arial" w:cs="Arial"/>
          <w:sz w:val="20"/>
          <w:szCs w:val="20"/>
        </w:rPr>
        <w:t xml:space="preserve">loss rate </w:t>
      </w:r>
      <w:r w:rsidR="003842C3" w:rsidRPr="003842C3">
        <w:rPr>
          <w:rFonts w:ascii="Arial" w:hAnsi="Arial" w:cs="Arial"/>
          <w:sz w:val="20"/>
          <w:szCs w:val="20"/>
        </w:rPr>
        <w:t>compared</w:t>
      </w:r>
      <w:r w:rsidR="003842C3">
        <w:rPr>
          <w:rFonts w:ascii="Arial" w:hAnsi="Arial" w:cs="Arial"/>
          <w:sz w:val="20"/>
          <w:szCs w:val="20"/>
        </w:rPr>
        <w:t xml:space="preserve"> to the </w:t>
      </w:r>
      <w:r w:rsidR="00314F09">
        <w:rPr>
          <w:rFonts w:ascii="Arial" w:hAnsi="Arial" w:cs="Arial"/>
          <w:sz w:val="20"/>
          <w:szCs w:val="20"/>
        </w:rPr>
        <w:t>control.</w:t>
      </w:r>
    </w:p>
    <w:p w:rsidR="00734E94" w:rsidRPr="006B3824" w:rsidRDefault="00734E94" w:rsidP="0049187D">
      <w:pPr>
        <w:tabs>
          <w:tab w:val="left" w:pos="360"/>
        </w:tabs>
        <w:rPr>
          <w:rFonts w:ascii="Arial" w:hAnsi="Arial" w:cs="Arial"/>
          <w:sz w:val="20"/>
          <w:szCs w:val="20"/>
        </w:rPr>
      </w:pPr>
    </w:p>
    <w:p w:rsidR="00FB4399" w:rsidRDefault="00E25473" w:rsidP="00FB4399">
      <w:pPr>
        <w:tabs>
          <w:tab w:val="left" w:pos="360"/>
        </w:tabs>
        <w:rPr>
          <w:rFonts w:ascii="Arial" w:hAnsi="Arial" w:cs="Arial"/>
          <w:b/>
          <w:sz w:val="20"/>
          <w:szCs w:val="20"/>
        </w:rPr>
      </w:pPr>
      <w:r w:rsidRPr="006B3824">
        <w:rPr>
          <w:rFonts w:ascii="Arial" w:hAnsi="Arial" w:cs="Arial"/>
          <w:b/>
          <w:sz w:val="20"/>
          <w:szCs w:val="20"/>
        </w:rPr>
        <w:t>Acknowledgements</w:t>
      </w:r>
    </w:p>
    <w:tbl>
      <w:tblPr>
        <w:tblpPr w:leftFromText="180" w:rightFromText="180" w:vertAnchor="text" w:horzAnchor="page" w:tblpX="7276" w:tblpY="628"/>
        <w:tblOverlap w:val="never"/>
        <w:tblW w:w="3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48"/>
        <w:gridCol w:w="1530"/>
        <w:gridCol w:w="900"/>
      </w:tblGrid>
      <w:tr w:rsidR="003D12A9" w:rsidRPr="001919B0" w:rsidTr="00BC4262">
        <w:trPr>
          <w:trHeight w:val="435"/>
        </w:trPr>
        <w:tc>
          <w:tcPr>
            <w:tcW w:w="1548" w:type="dxa"/>
            <w:vAlign w:val="center"/>
          </w:tcPr>
          <w:p w:rsidR="003D12A9" w:rsidRPr="00BA5EA4" w:rsidRDefault="003D12A9" w:rsidP="00B56BB9">
            <w:pPr>
              <w:jc w:val="center"/>
              <w:rPr>
                <w:rFonts w:ascii="Arial" w:eastAsia="Times New Roman" w:hAnsi="Arial" w:cs="Arial"/>
                <w:sz w:val="20"/>
                <w:szCs w:val="20"/>
                <w:lang w:eastAsia="en-US"/>
              </w:rPr>
            </w:pPr>
            <w:r w:rsidRPr="00BA5EA4">
              <w:rPr>
                <w:rFonts w:ascii="Arial" w:eastAsia="Times New Roman" w:hAnsi="Arial" w:cs="Arial"/>
                <w:sz w:val="20"/>
                <w:szCs w:val="20"/>
                <w:lang w:eastAsia="en-US"/>
              </w:rPr>
              <w:t>Treatment</w:t>
            </w:r>
          </w:p>
        </w:tc>
        <w:tc>
          <w:tcPr>
            <w:tcW w:w="1530" w:type="dxa"/>
            <w:vAlign w:val="center"/>
          </w:tcPr>
          <w:p w:rsidR="003D12A9" w:rsidRPr="00BA5EA4" w:rsidRDefault="003D12A9" w:rsidP="00B56BB9">
            <w:pPr>
              <w:jc w:val="center"/>
              <w:rPr>
                <w:rFonts w:ascii="Arial" w:eastAsia="Times New Roman" w:hAnsi="Arial" w:cs="Arial"/>
                <w:sz w:val="20"/>
                <w:szCs w:val="20"/>
                <w:lang w:eastAsia="en-US"/>
              </w:rPr>
            </w:pPr>
            <w:r w:rsidRPr="00BA5EA4">
              <w:rPr>
                <w:rFonts w:ascii="Arial" w:eastAsia="Times New Roman" w:hAnsi="Arial" w:cs="Arial"/>
                <w:sz w:val="20"/>
                <w:szCs w:val="20"/>
                <w:lang w:eastAsia="en-US"/>
              </w:rPr>
              <w:t>Iron Loss Rate (</w:t>
            </w:r>
            <w:r w:rsidRPr="00BA5EA4">
              <w:rPr>
                <w:rFonts w:ascii="Arial" w:hAnsi="Arial" w:cs="Arial"/>
                <w:sz w:val="20"/>
                <w:szCs w:val="20"/>
              </w:rPr>
              <w:t>pmol L</w:t>
            </w:r>
            <w:r w:rsidRPr="00BA5EA4">
              <w:rPr>
                <w:rFonts w:ascii="Arial" w:hAnsi="Arial" w:cs="Arial"/>
                <w:sz w:val="20"/>
                <w:szCs w:val="20"/>
                <w:vertAlign w:val="superscript"/>
              </w:rPr>
              <w:t>-1</w:t>
            </w:r>
            <w:r w:rsidRPr="00BA5EA4">
              <w:rPr>
                <w:rFonts w:ascii="Arial" w:hAnsi="Arial" w:cs="Arial"/>
                <w:sz w:val="20"/>
                <w:szCs w:val="20"/>
              </w:rPr>
              <w:t xml:space="preserve"> h</w:t>
            </w:r>
            <w:r w:rsidRPr="00BA5EA4">
              <w:rPr>
                <w:rFonts w:ascii="Arial" w:hAnsi="Arial" w:cs="Arial"/>
                <w:sz w:val="20"/>
                <w:szCs w:val="20"/>
                <w:vertAlign w:val="superscript"/>
              </w:rPr>
              <w:t>-1</w:t>
            </w:r>
            <w:r w:rsidRPr="00BA5EA4">
              <w:rPr>
                <w:rFonts w:ascii="Arial" w:hAnsi="Arial" w:cs="Arial"/>
                <w:sz w:val="20"/>
                <w:szCs w:val="20"/>
              </w:rPr>
              <w:t>)</w:t>
            </w:r>
          </w:p>
        </w:tc>
        <w:tc>
          <w:tcPr>
            <w:tcW w:w="900" w:type="dxa"/>
          </w:tcPr>
          <w:p w:rsidR="003D12A9" w:rsidRDefault="00061E33" w:rsidP="00B56BB9">
            <w:pPr>
              <w:jc w:val="center"/>
              <w:rPr>
                <w:rFonts w:ascii="Arial" w:eastAsia="Times New Roman" w:hAnsi="Arial" w:cs="Arial"/>
                <w:sz w:val="20"/>
                <w:szCs w:val="20"/>
                <w:lang w:eastAsia="en-US"/>
              </w:rPr>
            </w:pPr>
            <w:r>
              <w:rPr>
                <w:rFonts w:ascii="Arial" w:eastAsia="Times New Roman" w:hAnsi="Arial" w:cs="Arial"/>
                <w:sz w:val="20"/>
                <w:szCs w:val="20"/>
                <w:lang w:eastAsia="en-US"/>
              </w:rPr>
              <w:t>p-value</w:t>
            </w:r>
          </w:p>
          <w:p w:rsidR="00250C5A" w:rsidRPr="00BA5EA4" w:rsidRDefault="00250C5A" w:rsidP="00B56BB9">
            <w:pPr>
              <w:jc w:val="center"/>
              <w:rPr>
                <w:rFonts w:ascii="Arial" w:eastAsia="Times New Roman" w:hAnsi="Arial" w:cs="Arial"/>
                <w:sz w:val="20"/>
                <w:szCs w:val="20"/>
                <w:lang w:eastAsia="en-US"/>
              </w:rPr>
            </w:pPr>
            <w:r>
              <w:rPr>
                <w:rFonts w:ascii="Arial" w:eastAsia="Times New Roman" w:hAnsi="Arial" w:cs="Arial"/>
                <w:sz w:val="20"/>
                <w:szCs w:val="20"/>
                <w:lang w:eastAsia="en-US"/>
              </w:rPr>
              <w:t>(&lt;0.05)</w:t>
            </w:r>
          </w:p>
        </w:tc>
      </w:tr>
      <w:tr w:rsidR="003D12A9" w:rsidRPr="001919B0" w:rsidTr="00BC4262">
        <w:trPr>
          <w:trHeight w:val="255"/>
        </w:trPr>
        <w:tc>
          <w:tcPr>
            <w:tcW w:w="1548" w:type="dxa"/>
          </w:tcPr>
          <w:p w:rsidR="003D12A9" w:rsidRPr="00BA5EA4" w:rsidRDefault="003D12A9" w:rsidP="00B56BB9">
            <w:pPr>
              <w:rPr>
                <w:rFonts w:ascii="Arial" w:eastAsia="Times New Roman" w:hAnsi="Arial" w:cs="Arial"/>
                <w:sz w:val="20"/>
                <w:szCs w:val="20"/>
                <w:lang w:eastAsia="en-US"/>
              </w:rPr>
            </w:pPr>
            <w:r w:rsidRPr="00BA5EA4">
              <w:rPr>
                <w:rFonts w:ascii="Arial" w:eastAsia="Times New Roman" w:hAnsi="Arial" w:cs="Arial"/>
                <w:sz w:val="20"/>
                <w:szCs w:val="20"/>
                <w:lang w:eastAsia="en-US"/>
              </w:rPr>
              <w:t>Control</w:t>
            </w:r>
          </w:p>
        </w:tc>
        <w:tc>
          <w:tcPr>
            <w:tcW w:w="1530" w:type="dxa"/>
          </w:tcPr>
          <w:p w:rsidR="003D12A9" w:rsidRPr="00BA5EA4" w:rsidRDefault="003D12A9" w:rsidP="00B56BB9">
            <w:pPr>
              <w:jc w:val="center"/>
              <w:rPr>
                <w:rFonts w:ascii="Arial" w:eastAsia="Times New Roman" w:hAnsi="Arial" w:cs="Arial"/>
                <w:sz w:val="20"/>
                <w:szCs w:val="20"/>
                <w:lang w:eastAsia="en-US"/>
              </w:rPr>
            </w:pPr>
            <w:r w:rsidRPr="00BA5EA4">
              <w:rPr>
                <w:rFonts w:ascii="Arial" w:eastAsia="Times New Roman" w:hAnsi="Arial" w:cs="Arial"/>
                <w:sz w:val="20"/>
                <w:szCs w:val="20"/>
                <w:lang w:eastAsia="en-US"/>
              </w:rPr>
              <w:t xml:space="preserve">16 </w:t>
            </w:r>
            <w:r w:rsidRPr="00BA5EA4">
              <w:rPr>
                <w:rFonts w:ascii="Arial" w:hAnsi="Arial" w:cs="Arial"/>
                <w:sz w:val="20"/>
                <w:szCs w:val="20"/>
              </w:rPr>
              <w:t>± 4</w:t>
            </w:r>
          </w:p>
        </w:tc>
        <w:tc>
          <w:tcPr>
            <w:tcW w:w="900" w:type="dxa"/>
          </w:tcPr>
          <w:p w:rsidR="003D12A9" w:rsidRPr="00BA5EA4" w:rsidRDefault="00BC4262" w:rsidP="00B56BB9">
            <w:pPr>
              <w:jc w:val="center"/>
              <w:rPr>
                <w:rFonts w:ascii="Arial" w:eastAsia="Times New Roman" w:hAnsi="Arial" w:cs="Arial"/>
                <w:sz w:val="20"/>
                <w:szCs w:val="20"/>
                <w:lang w:eastAsia="en-US"/>
              </w:rPr>
            </w:pPr>
            <w:r>
              <w:rPr>
                <w:rFonts w:ascii="Arial" w:eastAsia="Times New Roman" w:hAnsi="Arial" w:cs="Arial"/>
                <w:sz w:val="20"/>
                <w:szCs w:val="20"/>
                <w:lang w:eastAsia="en-US"/>
              </w:rPr>
              <w:t>B</w:t>
            </w:r>
          </w:p>
        </w:tc>
      </w:tr>
      <w:tr w:rsidR="003D12A9" w:rsidRPr="001919B0" w:rsidTr="00BC4262">
        <w:trPr>
          <w:trHeight w:val="291"/>
        </w:trPr>
        <w:tc>
          <w:tcPr>
            <w:tcW w:w="1548" w:type="dxa"/>
          </w:tcPr>
          <w:p w:rsidR="003D12A9" w:rsidRPr="00BA5EA4" w:rsidRDefault="003D12A9" w:rsidP="00B56BB9">
            <w:pPr>
              <w:rPr>
                <w:rFonts w:ascii="Arial" w:eastAsia="Times New Roman" w:hAnsi="Arial" w:cs="Arial"/>
                <w:iCs/>
                <w:sz w:val="20"/>
                <w:szCs w:val="20"/>
                <w:lang w:eastAsia="en-US"/>
              </w:rPr>
            </w:pPr>
            <w:r w:rsidRPr="00BA5EA4">
              <w:rPr>
                <w:rFonts w:ascii="Arial" w:eastAsia="Times New Roman" w:hAnsi="Arial" w:cs="Arial"/>
                <w:iCs/>
                <w:sz w:val="20"/>
                <w:szCs w:val="20"/>
                <w:lang w:eastAsia="en-US"/>
              </w:rPr>
              <w:t>Filtrate Blank</w:t>
            </w:r>
          </w:p>
        </w:tc>
        <w:tc>
          <w:tcPr>
            <w:tcW w:w="1530" w:type="dxa"/>
          </w:tcPr>
          <w:p w:rsidR="003D12A9" w:rsidRPr="00BA5EA4" w:rsidRDefault="003D12A9" w:rsidP="00B56BB9">
            <w:pPr>
              <w:jc w:val="center"/>
              <w:rPr>
                <w:rFonts w:ascii="Arial" w:eastAsia="Times New Roman" w:hAnsi="Arial" w:cs="Arial"/>
                <w:sz w:val="20"/>
                <w:szCs w:val="20"/>
                <w:lang w:eastAsia="en-US"/>
              </w:rPr>
            </w:pPr>
            <w:r w:rsidRPr="00BA5EA4">
              <w:rPr>
                <w:rFonts w:ascii="Arial" w:eastAsia="Times New Roman" w:hAnsi="Arial" w:cs="Arial"/>
                <w:sz w:val="20"/>
                <w:szCs w:val="20"/>
                <w:lang w:eastAsia="en-US"/>
              </w:rPr>
              <w:t xml:space="preserve">22 </w:t>
            </w:r>
            <w:r w:rsidRPr="00BA5EA4">
              <w:rPr>
                <w:rFonts w:ascii="Arial" w:hAnsi="Arial" w:cs="Arial"/>
                <w:sz w:val="20"/>
                <w:szCs w:val="20"/>
              </w:rPr>
              <w:t>± 6</w:t>
            </w:r>
          </w:p>
        </w:tc>
        <w:tc>
          <w:tcPr>
            <w:tcW w:w="900" w:type="dxa"/>
          </w:tcPr>
          <w:p w:rsidR="003D12A9" w:rsidRPr="00BA5EA4" w:rsidRDefault="00BC4262" w:rsidP="00B56BB9">
            <w:pPr>
              <w:jc w:val="center"/>
              <w:rPr>
                <w:rFonts w:ascii="Arial" w:eastAsia="Times New Roman" w:hAnsi="Arial" w:cs="Arial"/>
                <w:sz w:val="20"/>
                <w:szCs w:val="20"/>
                <w:lang w:eastAsia="en-US"/>
              </w:rPr>
            </w:pPr>
            <w:r>
              <w:rPr>
                <w:rFonts w:ascii="Arial" w:eastAsia="Times New Roman" w:hAnsi="Arial" w:cs="Arial"/>
                <w:sz w:val="20"/>
                <w:szCs w:val="20"/>
                <w:lang w:eastAsia="en-US"/>
              </w:rPr>
              <w:t>B</w:t>
            </w:r>
          </w:p>
        </w:tc>
      </w:tr>
      <w:tr w:rsidR="003D12A9" w:rsidRPr="001919B0" w:rsidTr="00BC4262">
        <w:trPr>
          <w:trHeight w:val="291"/>
        </w:trPr>
        <w:tc>
          <w:tcPr>
            <w:tcW w:w="1548" w:type="dxa"/>
          </w:tcPr>
          <w:p w:rsidR="003D12A9" w:rsidRPr="00BA5EA4" w:rsidRDefault="003D12A9" w:rsidP="00B56BB9">
            <w:pPr>
              <w:rPr>
                <w:rFonts w:ascii="Arial" w:eastAsia="Times New Roman" w:hAnsi="Arial" w:cs="Arial"/>
                <w:iCs/>
                <w:sz w:val="20"/>
                <w:szCs w:val="20"/>
                <w:lang w:eastAsia="en-US"/>
              </w:rPr>
            </w:pPr>
            <w:r w:rsidRPr="00BA5EA4">
              <w:rPr>
                <w:rFonts w:ascii="Arial" w:eastAsia="Times New Roman" w:hAnsi="Arial" w:cs="Arial"/>
                <w:iCs/>
                <w:sz w:val="20"/>
                <w:szCs w:val="20"/>
                <w:lang w:eastAsia="en-US"/>
              </w:rPr>
              <w:t>FeCl</w:t>
            </w:r>
            <w:r w:rsidRPr="00BA5EA4">
              <w:rPr>
                <w:rFonts w:ascii="Arial" w:eastAsia="Times New Roman" w:hAnsi="Arial" w:cs="Arial"/>
                <w:iCs/>
                <w:sz w:val="20"/>
                <w:szCs w:val="20"/>
                <w:vertAlign w:val="subscript"/>
                <w:lang w:eastAsia="en-US"/>
              </w:rPr>
              <w:t>3</w:t>
            </w:r>
            <w:r w:rsidRPr="00BA5EA4">
              <w:rPr>
                <w:rFonts w:ascii="Arial" w:eastAsia="Times New Roman" w:hAnsi="Arial" w:cs="Arial"/>
                <w:iCs/>
                <w:sz w:val="20"/>
                <w:szCs w:val="20"/>
                <w:lang w:eastAsia="en-US"/>
              </w:rPr>
              <w:t xml:space="preserve"> Addition</w:t>
            </w:r>
          </w:p>
        </w:tc>
        <w:tc>
          <w:tcPr>
            <w:tcW w:w="1530" w:type="dxa"/>
          </w:tcPr>
          <w:p w:rsidR="003D12A9" w:rsidRPr="00BA5EA4" w:rsidRDefault="003D12A9" w:rsidP="00B56BB9">
            <w:pPr>
              <w:jc w:val="center"/>
              <w:rPr>
                <w:rFonts w:ascii="Arial" w:eastAsia="Times New Roman" w:hAnsi="Arial" w:cs="Arial"/>
                <w:sz w:val="20"/>
                <w:szCs w:val="20"/>
                <w:lang w:eastAsia="en-US"/>
              </w:rPr>
            </w:pPr>
            <w:r w:rsidRPr="00BA5EA4">
              <w:rPr>
                <w:rFonts w:ascii="Arial" w:eastAsia="Times New Roman" w:hAnsi="Arial" w:cs="Arial"/>
                <w:sz w:val="20"/>
                <w:szCs w:val="20"/>
                <w:lang w:eastAsia="en-US"/>
              </w:rPr>
              <w:t xml:space="preserve">39 </w:t>
            </w:r>
            <w:r w:rsidRPr="00BA5EA4">
              <w:rPr>
                <w:rFonts w:ascii="Arial" w:hAnsi="Arial" w:cs="Arial"/>
                <w:sz w:val="20"/>
                <w:szCs w:val="20"/>
              </w:rPr>
              <w:t>± 7</w:t>
            </w:r>
          </w:p>
        </w:tc>
        <w:tc>
          <w:tcPr>
            <w:tcW w:w="900" w:type="dxa"/>
          </w:tcPr>
          <w:p w:rsidR="003D12A9" w:rsidRPr="00BA5EA4" w:rsidRDefault="00BC4262" w:rsidP="00B56BB9">
            <w:pPr>
              <w:jc w:val="center"/>
              <w:rPr>
                <w:rFonts w:ascii="Arial" w:eastAsia="Times New Roman" w:hAnsi="Arial" w:cs="Arial"/>
                <w:sz w:val="20"/>
                <w:szCs w:val="20"/>
                <w:lang w:eastAsia="en-US"/>
              </w:rPr>
            </w:pPr>
            <w:r>
              <w:rPr>
                <w:rFonts w:ascii="Arial" w:eastAsia="Times New Roman" w:hAnsi="Arial" w:cs="Arial"/>
                <w:sz w:val="20"/>
                <w:szCs w:val="20"/>
                <w:lang w:eastAsia="en-US"/>
              </w:rPr>
              <w:t>A</w:t>
            </w:r>
          </w:p>
        </w:tc>
      </w:tr>
      <w:tr w:rsidR="003D12A9" w:rsidRPr="001919B0" w:rsidTr="00BC4262">
        <w:trPr>
          <w:trHeight w:val="291"/>
        </w:trPr>
        <w:tc>
          <w:tcPr>
            <w:tcW w:w="1548" w:type="dxa"/>
          </w:tcPr>
          <w:p w:rsidR="003D12A9" w:rsidRPr="00BA5EA4" w:rsidRDefault="003D12A9" w:rsidP="00B56BB9">
            <w:pPr>
              <w:rPr>
                <w:rFonts w:ascii="Arial" w:eastAsia="Times New Roman" w:hAnsi="Arial" w:cs="Arial"/>
                <w:iCs/>
                <w:sz w:val="20"/>
                <w:szCs w:val="20"/>
                <w:lang w:eastAsia="en-US"/>
              </w:rPr>
            </w:pPr>
            <w:r w:rsidRPr="00BA5EA4">
              <w:rPr>
                <w:rFonts w:ascii="Arial" w:eastAsia="Times New Roman" w:hAnsi="Arial" w:cs="Arial"/>
                <w:iCs/>
                <w:sz w:val="20"/>
                <w:szCs w:val="20"/>
                <w:lang w:eastAsia="en-US"/>
              </w:rPr>
              <w:t>Dust Addition</w:t>
            </w:r>
          </w:p>
        </w:tc>
        <w:tc>
          <w:tcPr>
            <w:tcW w:w="1530" w:type="dxa"/>
          </w:tcPr>
          <w:p w:rsidR="003D12A9" w:rsidRPr="00BA5EA4" w:rsidRDefault="003D12A9" w:rsidP="00B56BB9">
            <w:pPr>
              <w:jc w:val="center"/>
              <w:rPr>
                <w:rFonts w:ascii="Arial" w:eastAsia="Times New Roman" w:hAnsi="Arial" w:cs="Arial"/>
                <w:sz w:val="20"/>
                <w:szCs w:val="20"/>
                <w:lang w:eastAsia="en-US"/>
              </w:rPr>
            </w:pPr>
            <w:r w:rsidRPr="00BA5EA4">
              <w:rPr>
                <w:rFonts w:ascii="Arial" w:eastAsia="Times New Roman" w:hAnsi="Arial" w:cs="Arial"/>
                <w:sz w:val="20"/>
                <w:szCs w:val="20"/>
                <w:lang w:eastAsia="en-US"/>
              </w:rPr>
              <w:t xml:space="preserve">32 </w:t>
            </w:r>
            <w:r w:rsidRPr="00BA5EA4">
              <w:rPr>
                <w:rFonts w:ascii="Arial" w:hAnsi="Arial" w:cs="Arial"/>
                <w:sz w:val="20"/>
                <w:szCs w:val="20"/>
              </w:rPr>
              <w:t>± 6</w:t>
            </w:r>
          </w:p>
        </w:tc>
        <w:tc>
          <w:tcPr>
            <w:tcW w:w="900" w:type="dxa"/>
          </w:tcPr>
          <w:p w:rsidR="003D12A9" w:rsidRPr="00BA5EA4" w:rsidRDefault="00BC4262" w:rsidP="00B56BB9">
            <w:pPr>
              <w:jc w:val="center"/>
              <w:rPr>
                <w:rFonts w:ascii="Arial" w:eastAsia="Times New Roman" w:hAnsi="Arial" w:cs="Arial"/>
                <w:sz w:val="20"/>
                <w:szCs w:val="20"/>
                <w:lang w:eastAsia="en-US"/>
              </w:rPr>
            </w:pPr>
            <w:r>
              <w:rPr>
                <w:rFonts w:ascii="Arial" w:eastAsia="Times New Roman" w:hAnsi="Arial" w:cs="Arial"/>
                <w:sz w:val="20"/>
                <w:szCs w:val="20"/>
                <w:lang w:eastAsia="en-US"/>
              </w:rPr>
              <w:t>AB</w:t>
            </w:r>
          </w:p>
        </w:tc>
      </w:tr>
      <w:tr w:rsidR="003D12A9" w:rsidRPr="001919B0" w:rsidTr="00BC4262">
        <w:trPr>
          <w:trHeight w:val="291"/>
        </w:trPr>
        <w:tc>
          <w:tcPr>
            <w:tcW w:w="1548" w:type="dxa"/>
          </w:tcPr>
          <w:p w:rsidR="003D12A9" w:rsidRPr="00BA5EA4" w:rsidRDefault="003D12A9" w:rsidP="00B56BB9">
            <w:pPr>
              <w:rPr>
                <w:rFonts w:ascii="Arial" w:eastAsia="Times New Roman" w:hAnsi="Arial" w:cs="Arial"/>
                <w:iCs/>
                <w:sz w:val="20"/>
                <w:szCs w:val="20"/>
                <w:lang w:eastAsia="en-US"/>
              </w:rPr>
            </w:pPr>
            <w:r w:rsidRPr="00BA5EA4">
              <w:rPr>
                <w:rFonts w:ascii="Arial" w:eastAsia="Times New Roman" w:hAnsi="Arial" w:cs="Arial"/>
                <w:iCs/>
                <w:sz w:val="20"/>
                <w:szCs w:val="20"/>
                <w:lang w:eastAsia="en-US"/>
              </w:rPr>
              <w:t>NO</w:t>
            </w:r>
            <w:r w:rsidRPr="00982E85">
              <w:rPr>
                <w:rFonts w:ascii="Arial" w:eastAsia="Times New Roman" w:hAnsi="Arial" w:cs="Arial"/>
                <w:iCs/>
                <w:sz w:val="20"/>
                <w:szCs w:val="20"/>
                <w:vertAlign w:val="subscript"/>
                <w:lang w:eastAsia="en-US"/>
              </w:rPr>
              <w:t>3</w:t>
            </w:r>
            <w:r w:rsidRPr="00BA5EA4">
              <w:rPr>
                <w:rFonts w:ascii="Arial" w:eastAsia="Times New Roman" w:hAnsi="Arial" w:cs="Arial"/>
                <w:iCs/>
                <w:sz w:val="20"/>
                <w:szCs w:val="20"/>
                <w:vertAlign w:val="superscript"/>
                <w:lang w:eastAsia="en-US"/>
              </w:rPr>
              <w:t>-</w:t>
            </w:r>
            <w:r w:rsidRPr="00BA5EA4">
              <w:rPr>
                <w:rFonts w:ascii="Arial" w:eastAsia="Times New Roman" w:hAnsi="Arial" w:cs="Arial"/>
                <w:iCs/>
                <w:sz w:val="20"/>
                <w:szCs w:val="20"/>
                <w:lang w:eastAsia="en-US"/>
              </w:rPr>
              <w:t xml:space="preserve"> Addition</w:t>
            </w:r>
          </w:p>
        </w:tc>
        <w:tc>
          <w:tcPr>
            <w:tcW w:w="1530" w:type="dxa"/>
          </w:tcPr>
          <w:p w:rsidR="003D12A9" w:rsidRPr="00BA5EA4" w:rsidRDefault="003D12A9" w:rsidP="00B56BB9">
            <w:pPr>
              <w:jc w:val="center"/>
              <w:rPr>
                <w:rFonts w:ascii="Arial" w:eastAsia="Times New Roman" w:hAnsi="Arial" w:cs="Arial"/>
                <w:sz w:val="20"/>
                <w:szCs w:val="20"/>
                <w:lang w:eastAsia="en-US"/>
              </w:rPr>
            </w:pPr>
            <w:r w:rsidRPr="00BA5EA4">
              <w:rPr>
                <w:rFonts w:ascii="Arial" w:eastAsia="Times New Roman" w:hAnsi="Arial" w:cs="Arial"/>
                <w:sz w:val="20"/>
                <w:szCs w:val="20"/>
                <w:lang w:eastAsia="en-US"/>
              </w:rPr>
              <w:t xml:space="preserve">26 </w:t>
            </w:r>
            <w:r w:rsidRPr="00BA5EA4">
              <w:rPr>
                <w:rFonts w:ascii="Arial" w:hAnsi="Arial" w:cs="Arial"/>
                <w:sz w:val="20"/>
                <w:szCs w:val="20"/>
              </w:rPr>
              <w:t>± 6</w:t>
            </w:r>
          </w:p>
        </w:tc>
        <w:tc>
          <w:tcPr>
            <w:tcW w:w="900" w:type="dxa"/>
          </w:tcPr>
          <w:p w:rsidR="003D12A9" w:rsidRPr="00BA5EA4" w:rsidRDefault="00BC4262" w:rsidP="00B56BB9">
            <w:pPr>
              <w:jc w:val="center"/>
              <w:rPr>
                <w:rFonts w:ascii="Arial" w:eastAsia="Times New Roman" w:hAnsi="Arial" w:cs="Arial"/>
                <w:sz w:val="20"/>
                <w:szCs w:val="20"/>
                <w:lang w:eastAsia="en-US"/>
              </w:rPr>
            </w:pPr>
            <w:r>
              <w:rPr>
                <w:rFonts w:ascii="Arial" w:eastAsia="Times New Roman" w:hAnsi="Arial" w:cs="Arial"/>
                <w:sz w:val="20"/>
                <w:szCs w:val="20"/>
                <w:lang w:eastAsia="en-US"/>
              </w:rPr>
              <w:t>B</w:t>
            </w:r>
          </w:p>
        </w:tc>
      </w:tr>
      <w:tr w:rsidR="003D12A9" w:rsidRPr="001919B0" w:rsidTr="00BC4262">
        <w:trPr>
          <w:trHeight w:val="291"/>
        </w:trPr>
        <w:tc>
          <w:tcPr>
            <w:tcW w:w="1548" w:type="dxa"/>
          </w:tcPr>
          <w:p w:rsidR="003D12A9" w:rsidRPr="00BA5EA4" w:rsidRDefault="003D12A9" w:rsidP="00B56BB9">
            <w:pPr>
              <w:rPr>
                <w:rFonts w:ascii="Arial" w:eastAsia="Times New Roman" w:hAnsi="Arial" w:cs="Arial"/>
                <w:iCs/>
                <w:sz w:val="20"/>
                <w:szCs w:val="20"/>
                <w:lang w:eastAsia="en-US"/>
              </w:rPr>
            </w:pPr>
            <w:r w:rsidRPr="00BA5EA4">
              <w:rPr>
                <w:rFonts w:ascii="Arial" w:eastAsia="Times New Roman" w:hAnsi="Arial" w:cs="Arial"/>
                <w:iCs/>
                <w:sz w:val="20"/>
                <w:szCs w:val="20"/>
                <w:lang w:eastAsia="en-US"/>
              </w:rPr>
              <w:t>PO</w:t>
            </w:r>
            <w:r w:rsidRPr="00982E85">
              <w:rPr>
                <w:rFonts w:ascii="Arial" w:eastAsia="Times New Roman" w:hAnsi="Arial" w:cs="Arial"/>
                <w:iCs/>
                <w:sz w:val="20"/>
                <w:szCs w:val="20"/>
                <w:vertAlign w:val="subscript"/>
                <w:lang w:eastAsia="en-US"/>
              </w:rPr>
              <w:t>4</w:t>
            </w:r>
            <w:r w:rsidRPr="00BA5EA4">
              <w:rPr>
                <w:rFonts w:ascii="Arial" w:eastAsia="Times New Roman" w:hAnsi="Arial" w:cs="Arial"/>
                <w:iCs/>
                <w:sz w:val="20"/>
                <w:szCs w:val="20"/>
                <w:vertAlign w:val="superscript"/>
                <w:lang w:eastAsia="en-US"/>
              </w:rPr>
              <w:t>-3</w:t>
            </w:r>
            <w:r w:rsidRPr="00BA5EA4">
              <w:rPr>
                <w:rFonts w:ascii="Arial" w:eastAsia="Times New Roman" w:hAnsi="Arial" w:cs="Arial"/>
                <w:iCs/>
                <w:sz w:val="20"/>
                <w:szCs w:val="20"/>
                <w:lang w:eastAsia="en-US"/>
              </w:rPr>
              <w:t xml:space="preserve"> Addition</w:t>
            </w:r>
          </w:p>
        </w:tc>
        <w:tc>
          <w:tcPr>
            <w:tcW w:w="1530" w:type="dxa"/>
          </w:tcPr>
          <w:p w:rsidR="003D12A9" w:rsidRPr="00BA5EA4" w:rsidRDefault="003D12A9" w:rsidP="00B56BB9">
            <w:pPr>
              <w:jc w:val="center"/>
              <w:rPr>
                <w:rFonts w:ascii="Arial" w:eastAsia="Times New Roman" w:hAnsi="Arial" w:cs="Arial"/>
                <w:sz w:val="20"/>
                <w:szCs w:val="20"/>
                <w:lang w:eastAsia="en-US"/>
              </w:rPr>
            </w:pPr>
            <w:r w:rsidRPr="00BA5EA4">
              <w:rPr>
                <w:rFonts w:ascii="Arial" w:eastAsia="Times New Roman" w:hAnsi="Arial" w:cs="Arial"/>
                <w:sz w:val="20"/>
                <w:szCs w:val="20"/>
                <w:lang w:eastAsia="en-US"/>
              </w:rPr>
              <w:t xml:space="preserve">24 </w:t>
            </w:r>
            <w:r w:rsidRPr="00BA5EA4">
              <w:rPr>
                <w:rFonts w:ascii="Arial" w:hAnsi="Arial" w:cs="Arial"/>
                <w:sz w:val="20"/>
                <w:szCs w:val="20"/>
              </w:rPr>
              <w:t>± 4</w:t>
            </w:r>
          </w:p>
        </w:tc>
        <w:tc>
          <w:tcPr>
            <w:tcW w:w="900" w:type="dxa"/>
          </w:tcPr>
          <w:p w:rsidR="003D12A9" w:rsidRPr="00BA5EA4" w:rsidRDefault="00BC4262" w:rsidP="00B56BB9">
            <w:pPr>
              <w:jc w:val="center"/>
              <w:rPr>
                <w:rFonts w:ascii="Arial" w:eastAsia="Times New Roman" w:hAnsi="Arial" w:cs="Arial"/>
                <w:sz w:val="20"/>
                <w:szCs w:val="20"/>
                <w:lang w:eastAsia="en-US"/>
              </w:rPr>
            </w:pPr>
            <w:r>
              <w:rPr>
                <w:rFonts w:ascii="Arial" w:eastAsia="Times New Roman" w:hAnsi="Arial" w:cs="Arial"/>
                <w:sz w:val="20"/>
                <w:szCs w:val="20"/>
                <w:lang w:eastAsia="en-US"/>
              </w:rPr>
              <w:t>B</w:t>
            </w:r>
          </w:p>
        </w:tc>
      </w:tr>
      <w:tr w:rsidR="003D12A9" w:rsidRPr="001919B0" w:rsidTr="00BC4262">
        <w:trPr>
          <w:trHeight w:val="291"/>
        </w:trPr>
        <w:tc>
          <w:tcPr>
            <w:tcW w:w="1548" w:type="dxa"/>
          </w:tcPr>
          <w:p w:rsidR="003D12A9" w:rsidRPr="00BA5EA4" w:rsidRDefault="003D12A9" w:rsidP="00B56BB9">
            <w:pPr>
              <w:rPr>
                <w:rFonts w:ascii="Arial" w:eastAsia="Times New Roman" w:hAnsi="Arial" w:cs="Arial"/>
                <w:iCs/>
                <w:sz w:val="20"/>
                <w:szCs w:val="20"/>
                <w:lang w:eastAsia="en-US"/>
              </w:rPr>
            </w:pPr>
            <w:r w:rsidRPr="00BA5EA4">
              <w:rPr>
                <w:rFonts w:ascii="Arial" w:eastAsia="Times New Roman" w:hAnsi="Arial" w:cs="Arial"/>
                <w:iCs/>
                <w:sz w:val="20"/>
                <w:szCs w:val="20"/>
                <w:lang w:eastAsia="en-US"/>
              </w:rPr>
              <w:t>DOC Addition</w:t>
            </w:r>
          </w:p>
        </w:tc>
        <w:tc>
          <w:tcPr>
            <w:tcW w:w="1530" w:type="dxa"/>
          </w:tcPr>
          <w:p w:rsidR="003D12A9" w:rsidRPr="00BA5EA4" w:rsidRDefault="003D12A9" w:rsidP="00B56BB9">
            <w:pPr>
              <w:jc w:val="center"/>
              <w:rPr>
                <w:rFonts w:ascii="Arial" w:eastAsia="Times New Roman" w:hAnsi="Arial" w:cs="Arial"/>
                <w:sz w:val="20"/>
                <w:szCs w:val="20"/>
                <w:lang w:eastAsia="en-US"/>
              </w:rPr>
            </w:pPr>
            <w:r w:rsidRPr="00BA5EA4">
              <w:rPr>
                <w:rFonts w:ascii="Arial" w:eastAsia="Times New Roman" w:hAnsi="Arial" w:cs="Arial"/>
                <w:sz w:val="20"/>
                <w:szCs w:val="20"/>
                <w:lang w:eastAsia="en-US"/>
              </w:rPr>
              <w:t xml:space="preserve">20 </w:t>
            </w:r>
            <w:r w:rsidRPr="00BA5EA4">
              <w:rPr>
                <w:rFonts w:ascii="Arial" w:hAnsi="Arial" w:cs="Arial"/>
                <w:sz w:val="20"/>
                <w:szCs w:val="20"/>
              </w:rPr>
              <w:t>± 5</w:t>
            </w:r>
          </w:p>
        </w:tc>
        <w:tc>
          <w:tcPr>
            <w:tcW w:w="900" w:type="dxa"/>
          </w:tcPr>
          <w:p w:rsidR="003D12A9" w:rsidRPr="00BA5EA4" w:rsidRDefault="00BC4262" w:rsidP="00B56BB9">
            <w:pPr>
              <w:jc w:val="center"/>
              <w:rPr>
                <w:rFonts w:ascii="Arial" w:eastAsia="Times New Roman" w:hAnsi="Arial" w:cs="Arial"/>
                <w:sz w:val="20"/>
                <w:szCs w:val="20"/>
                <w:lang w:eastAsia="en-US"/>
              </w:rPr>
            </w:pPr>
            <w:r>
              <w:rPr>
                <w:rFonts w:ascii="Arial" w:eastAsia="Times New Roman" w:hAnsi="Arial" w:cs="Arial"/>
                <w:sz w:val="20"/>
                <w:szCs w:val="20"/>
                <w:lang w:eastAsia="en-US"/>
              </w:rPr>
              <w:t>B</w:t>
            </w:r>
          </w:p>
        </w:tc>
      </w:tr>
      <w:tr w:rsidR="003D12A9" w:rsidRPr="001919B0" w:rsidTr="00BC4262">
        <w:trPr>
          <w:trHeight w:val="291"/>
        </w:trPr>
        <w:tc>
          <w:tcPr>
            <w:tcW w:w="1548" w:type="dxa"/>
          </w:tcPr>
          <w:p w:rsidR="003D12A9" w:rsidRPr="00BA5EA4" w:rsidRDefault="003D12A9" w:rsidP="00B56BB9">
            <w:pPr>
              <w:rPr>
                <w:rFonts w:ascii="Arial" w:eastAsia="Times New Roman" w:hAnsi="Arial" w:cs="Arial"/>
                <w:iCs/>
                <w:sz w:val="20"/>
                <w:szCs w:val="20"/>
                <w:lang w:eastAsia="en-US"/>
              </w:rPr>
            </w:pPr>
            <w:r w:rsidRPr="00BA5EA4">
              <w:rPr>
                <w:rFonts w:ascii="Arial" w:eastAsia="Times New Roman" w:hAnsi="Arial" w:cs="Arial"/>
                <w:iCs/>
                <w:sz w:val="20"/>
                <w:szCs w:val="20"/>
                <w:lang w:eastAsia="en-US"/>
              </w:rPr>
              <w:t>Nutrient Mix</w:t>
            </w:r>
          </w:p>
        </w:tc>
        <w:tc>
          <w:tcPr>
            <w:tcW w:w="1530" w:type="dxa"/>
          </w:tcPr>
          <w:p w:rsidR="003D12A9" w:rsidRPr="00BA5EA4" w:rsidRDefault="003D12A9" w:rsidP="00B56BB9">
            <w:pPr>
              <w:jc w:val="center"/>
              <w:rPr>
                <w:rFonts w:ascii="Arial" w:eastAsia="Times New Roman" w:hAnsi="Arial" w:cs="Arial"/>
                <w:sz w:val="20"/>
                <w:szCs w:val="20"/>
                <w:lang w:eastAsia="en-US"/>
              </w:rPr>
            </w:pPr>
            <w:r w:rsidRPr="00BA5EA4">
              <w:rPr>
                <w:rFonts w:ascii="Arial" w:eastAsia="Times New Roman" w:hAnsi="Arial" w:cs="Arial"/>
                <w:sz w:val="20"/>
                <w:szCs w:val="20"/>
                <w:lang w:eastAsia="en-US"/>
              </w:rPr>
              <w:t xml:space="preserve">31 </w:t>
            </w:r>
            <w:r w:rsidRPr="00BA5EA4">
              <w:rPr>
                <w:rFonts w:ascii="Arial" w:hAnsi="Arial" w:cs="Arial"/>
                <w:sz w:val="20"/>
                <w:szCs w:val="20"/>
              </w:rPr>
              <w:t>± 6</w:t>
            </w:r>
          </w:p>
        </w:tc>
        <w:tc>
          <w:tcPr>
            <w:tcW w:w="900" w:type="dxa"/>
          </w:tcPr>
          <w:p w:rsidR="003D12A9" w:rsidRPr="00BA5EA4" w:rsidRDefault="00BC4262" w:rsidP="00B56BB9">
            <w:pPr>
              <w:jc w:val="center"/>
              <w:rPr>
                <w:rFonts w:ascii="Arial" w:eastAsia="Times New Roman" w:hAnsi="Arial" w:cs="Arial"/>
                <w:sz w:val="20"/>
                <w:szCs w:val="20"/>
                <w:lang w:eastAsia="en-US"/>
              </w:rPr>
            </w:pPr>
            <w:r>
              <w:rPr>
                <w:rFonts w:ascii="Arial" w:eastAsia="Times New Roman" w:hAnsi="Arial" w:cs="Arial"/>
                <w:sz w:val="20"/>
                <w:szCs w:val="20"/>
                <w:lang w:eastAsia="en-US"/>
              </w:rPr>
              <w:t>AB</w:t>
            </w:r>
          </w:p>
        </w:tc>
      </w:tr>
    </w:tbl>
    <w:p w:rsidR="00FB4399" w:rsidRPr="00491C5D" w:rsidRDefault="00FB4399" w:rsidP="00FB4399">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Pr="00334CEB">
        <w:rPr>
          <w:rFonts w:ascii="Arial" w:eastAsia="Times New Roman" w:hAnsi="Arial" w:cs="Arial"/>
          <w:sz w:val="20"/>
          <w:szCs w:val="20"/>
          <w:lang w:eastAsia="en-US"/>
        </w:rPr>
        <w:t>A portion of this work was performed at the National High Magnetic Field Laboratory, which is supported by National Science Foundation Coopera</w:t>
      </w:r>
      <w:r w:rsidR="003A1FF5">
        <w:rPr>
          <w:rFonts w:ascii="Arial" w:eastAsia="Times New Roman" w:hAnsi="Arial" w:cs="Arial"/>
          <w:sz w:val="20"/>
          <w:szCs w:val="20"/>
          <w:lang w:eastAsia="en-US"/>
        </w:rPr>
        <w:t xml:space="preserve">tive Agreement No. </w:t>
      </w:r>
      <w:proofErr w:type="gramStart"/>
      <w:r w:rsidR="003A1FF5">
        <w:rPr>
          <w:rFonts w:ascii="Arial" w:eastAsia="Times New Roman" w:hAnsi="Arial" w:cs="Arial"/>
          <w:sz w:val="20"/>
          <w:szCs w:val="20"/>
          <w:lang w:eastAsia="en-US"/>
        </w:rPr>
        <w:t>DMR-1157490</w:t>
      </w:r>
      <w:r w:rsidR="00A758E6">
        <w:rPr>
          <w:rFonts w:ascii="Arial" w:eastAsia="Times New Roman" w:hAnsi="Arial" w:cs="Arial"/>
          <w:sz w:val="20"/>
          <w:szCs w:val="20"/>
          <w:lang w:eastAsia="en-US"/>
        </w:rPr>
        <w:t xml:space="preserve"> and </w:t>
      </w:r>
      <w:r w:rsidRPr="00334CEB">
        <w:rPr>
          <w:rFonts w:ascii="Arial" w:eastAsia="Times New Roman" w:hAnsi="Arial" w:cs="Arial"/>
          <w:sz w:val="20"/>
          <w:szCs w:val="20"/>
          <w:lang w:eastAsia="en-US"/>
        </w:rPr>
        <w:t>the Stat</w:t>
      </w:r>
      <w:r w:rsidR="00334CEB">
        <w:rPr>
          <w:rFonts w:ascii="Arial" w:eastAsia="Times New Roman" w:hAnsi="Arial" w:cs="Arial"/>
          <w:sz w:val="20"/>
          <w:szCs w:val="20"/>
          <w:lang w:eastAsia="en-US"/>
        </w:rPr>
        <w:t>e of Florida</w:t>
      </w:r>
      <w:r w:rsidR="00A758E6">
        <w:rPr>
          <w:rFonts w:ascii="Arial" w:eastAsia="Times New Roman" w:hAnsi="Arial" w:cs="Arial"/>
          <w:sz w:val="20"/>
          <w:szCs w:val="20"/>
          <w:lang w:eastAsia="en-US"/>
        </w:rPr>
        <w:t>.</w:t>
      </w:r>
      <w:proofErr w:type="gramEnd"/>
      <w:r w:rsidR="00BA5EA4">
        <w:rPr>
          <w:rFonts w:ascii="Arial" w:eastAsia="Times New Roman" w:hAnsi="Arial" w:cs="Arial"/>
          <w:sz w:val="20"/>
          <w:szCs w:val="20"/>
          <w:lang w:eastAsia="en-US"/>
        </w:rPr>
        <w:t xml:space="preserve"> </w:t>
      </w:r>
      <w:r>
        <w:rPr>
          <w:rFonts w:ascii="Arial" w:eastAsia="Times New Roman" w:hAnsi="Arial" w:cs="Arial"/>
          <w:sz w:val="20"/>
          <w:szCs w:val="20"/>
          <w:lang w:eastAsia="en-US"/>
        </w:rPr>
        <w:t xml:space="preserve">In addition, </w:t>
      </w:r>
      <w:r w:rsidR="00AE2E47">
        <w:rPr>
          <w:rFonts w:ascii="Arial" w:eastAsia="Times New Roman" w:hAnsi="Arial" w:cs="Arial"/>
          <w:sz w:val="20"/>
          <w:szCs w:val="20"/>
          <w:lang w:eastAsia="en-US"/>
        </w:rPr>
        <w:t xml:space="preserve">this research was funded </w:t>
      </w:r>
      <w:r w:rsidR="00AE2E47" w:rsidRPr="00BA5EA4">
        <w:rPr>
          <w:rFonts w:ascii="Arial" w:eastAsia="Times New Roman" w:hAnsi="Arial" w:cs="Arial"/>
          <w:sz w:val="20"/>
          <w:szCs w:val="20"/>
          <w:lang w:eastAsia="en-US"/>
        </w:rPr>
        <w:t>by NSF</w:t>
      </w:r>
      <w:r w:rsidR="00145EDA" w:rsidRPr="00BA5EA4">
        <w:rPr>
          <w:rFonts w:ascii="Arial" w:eastAsia="Times New Roman" w:hAnsi="Arial" w:cs="Arial"/>
          <w:sz w:val="20"/>
          <w:szCs w:val="20"/>
          <w:lang w:eastAsia="en-US"/>
        </w:rPr>
        <w:t xml:space="preserve"> OCE-1357140 </w:t>
      </w:r>
      <w:r w:rsidR="00AE2E47" w:rsidRPr="00BA5EA4">
        <w:rPr>
          <w:rFonts w:ascii="Arial" w:eastAsia="Times New Roman" w:hAnsi="Arial" w:cs="Arial"/>
          <w:sz w:val="20"/>
          <w:szCs w:val="20"/>
          <w:lang w:eastAsia="en-US"/>
        </w:rPr>
        <w:t>(to WML).</w:t>
      </w:r>
    </w:p>
    <w:p w:rsidR="00E25473" w:rsidRPr="006B3824" w:rsidRDefault="00E25473" w:rsidP="0049187D">
      <w:pPr>
        <w:tabs>
          <w:tab w:val="left" w:pos="360"/>
        </w:tabs>
        <w:rPr>
          <w:rFonts w:ascii="Arial" w:hAnsi="Arial" w:cs="Arial"/>
          <w:sz w:val="20"/>
          <w:szCs w:val="20"/>
        </w:rPr>
      </w:pPr>
    </w:p>
    <w:p w:rsidR="00E25473" w:rsidRPr="006B3824" w:rsidRDefault="00E25473" w:rsidP="0049187D">
      <w:pPr>
        <w:tabs>
          <w:tab w:val="left" w:pos="360"/>
        </w:tabs>
        <w:rPr>
          <w:rFonts w:ascii="Arial" w:hAnsi="Arial" w:cs="Arial"/>
          <w:b/>
          <w:sz w:val="20"/>
          <w:szCs w:val="20"/>
        </w:rPr>
      </w:pPr>
      <w:r w:rsidRPr="006B3824">
        <w:rPr>
          <w:rFonts w:ascii="Arial" w:hAnsi="Arial" w:cs="Arial"/>
          <w:b/>
          <w:sz w:val="20"/>
          <w:szCs w:val="20"/>
        </w:rPr>
        <w:t>References</w:t>
      </w:r>
    </w:p>
    <w:p w:rsidR="00AE2E47" w:rsidRDefault="00AE2E47" w:rsidP="00AE2E47">
      <w:pPr>
        <w:tabs>
          <w:tab w:val="left" w:pos="360"/>
        </w:tabs>
        <w:rPr>
          <w:rFonts w:ascii="Arial" w:hAnsi="Arial" w:cs="Arial"/>
          <w:sz w:val="20"/>
          <w:szCs w:val="20"/>
        </w:rPr>
      </w:pPr>
      <w:r>
        <w:rPr>
          <w:rFonts w:ascii="Arial" w:hAnsi="Arial" w:cs="Arial"/>
          <w:sz w:val="20"/>
          <w:szCs w:val="20"/>
        </w:rPr>
        <w:t>[1]</w:t>
      </w:r>
      <w:r>
        <w:rPr>
          <w:rFonts w:ascii="Arial" w:hAnsi="Arial" w:cs="Arial"/>
          <w:sz w:val="20"/>
          <w:szCs w:val="20"/>
        </w:rPr>
        <w:tab/>
        <w:t xml:space="preserve">Lenes, J.M., </w:t>
      </w:r>
      <w:r>
        <w:rPr>
          <w:rFonts w:ascii="Arial" w:hAnsi="Arial" w:cs="Arial"/>
          <w:i/>
          <w:sz w:val="20"/>
          <w:szCs w:val="20"/>
        </w:rPr>
        <w:t>et al.</w:t>
      </w:r>
      <w:r>
        <w:rPr>
          <w:rFonts w:ascii="Arial" w:hAnsi="Arial" w:cs="Arial"/>
          <w:sz w:val="20"/>
          <w:szCs w:val="20"/>
        </w:rPr>
        <w:t xml:space="preserve">, Limnology and Oceanography, </w:t>
      </w:r>
      <w:r>
        <w:rPr>
          <w:rFonts w:ascii="Arial" w:hAnsi="Arial" w:cs="Arial"/>
          <w:b/>
          <w:sz w:val="20"/>
          <w:szCs w:val="20"/>
        </w:rPr>
        <w:t>46</w:t>
      </w:r>
      <w:r>
        <w:rPr>
          <w:rFonts w:ascii="Arial" w:hAnsi="Arial" w:cs="Arial"/>
          <w:sz w:val="20"/>
          <w:szCs w:val="20"/>
        </w:rPr>
        <w:t>, 1261-1277 (2001).</w:t>
      </w:r>
    </w:p>
    <w:p w:rsidR="00AE2E47" w:rsidRDefault="00AE2E47" w:rsidP="00AE2E47">
      <w:pPr>
        <w:tabs>
          <w:tab w:val="left" w:pos="360"/>
        </w:tabs>
        <w:rPr>
          <w:rFonts w:ascii="Arial" w:hAnsi="Arial" w:cs="Arial"/>
          <w:sz w:val="20"/>
          <w:szCs w:val="20"/>
        </w:rPr>
      </w:pPr>
      <w:r>
        <w:rPr>
          <w:rFonts w:ascii="Arial" w:hAnsi="Arial" w:cs="Arial"/>
          <w:sz w:val="20"/>
          <w:szCs w:val="20"/>
        </w:rPr>
        <w:t>[2]</w:t>
      </w:r>
      <w:r>
        <w:rPr>
          <w:rFonts w:ascii="Arial" w:hAnsi="Arial" w:cs="Arial"/>
          <w:sz w:val="20"/>
          <w:szCs w:val="20"/>
        </w:rPr>
        <w:tab/>
        <w:t xml:space="preserve">Duarte, C.M., </w:t>
      </w:r>
      <w:r>
        <w:rPr>
          <w:rFonts w:ascii="Arial" w:hAnsi="Arial" w:cs="Arial"/>
          <w:i/>
          <w:sz w:val="20"/>
          <w:szCs w:val="20"/>
        </w:rPr>
        <w:t>et al.</w:t>
      </w:r>
      <w:r>
        <w:rPr>
          <w:rFonts w:ascii="Arial" w:hAnsi="Arial" w:cs="Arial"/>
          <w:sz w:val="20"/>
          <w:szCs w:val="20"/>
        </w:rPr>
        <w:t xml:space="preserve">, Journal of Geophysical Research, </w:t>
      </w:r>
      <w:r>
        <w:rPr>
          <w:rFonts w:ascii="Arial" w:hAnsi="Arial" w:cs="Arial"/>
          <w:b/>
          <w:sz w:val="20"/>
          <w:szCs w:val="20"/>
        </w:rPr>
        <w:t>111</w:t>
      </w:r>
      <w:r>
        <w:rPr>
          <w:rFonts w:ascii="Arial" w:hAnsi="Arial" w:cs="Arial"/>
          <w:sz w:val="20"/>
          <w:szCs w:val="20"/>
        </w:rPr>
        <w:t>, G04006 (2006).</w:t>
      </w:r>
    </w:p>
    <w:p w:rsidR="00AE2E47" w:rsidRDefault="00AE2E47" w:rsidP="00AE2E47">
      <w:pPr>
        <w:tabs>
          <w:tab w:val="left" w:pos="360"/>
        </w:tabs>
        <w:rPr>
          <w:rFonts w:ascii="Arial" w:hAnsi="Arial" w:cs="Arial"/>
          <w:sz w:val="20"/>
          <w:szCs w:val="20"/>
        </w:rPr>
      </w:pPr>
      <w:r>
        <w:rPr>
          <w:rFonts w:ascii="Arial" w:hAnsi="Arial" w:cs="Arial"/>
          <w:sz w:val="20"/>
          <w:szCs w:val="20"/>
        </w:rPr>
        <w:t>[3]</w:t>
      </w:r>
      <w:r>
        <w:rPr>
          <w:rFonts w:ascii="Arial" w:hAnsi="Arial" w:cs="Arial"/>
          <w:sz w:val="20"/>
          <w:szCs w:val="20"/>
        </w:rPr>
        <w:tab/>
      </w:r>
      <w:proofErr w:type="spellStart"/>
      <w:r>
        <w:rPr>
          <w:rFonts w:ascii="Arial" w:hAnsi="Arial" w:cs="Arial"/>
          <w:sz w:val="20"/>
          <w:szCs w:val="20"/>
        </w:rPr>
        <w:t>Reche</w:t>
      </w:r>
      <w:proofErr w:type="spellEnd"/>
      <w:r>
        <w:rPr>
          <w:rFonts w:ascii="Arial" w:hAnsi="Arial" w:cs="Arial"/>
          <w:sz w:val="20"/>
          <w:szCs w:val="20"/>
        </w:rPr>
        <w:t xml:space="preserve">, I., </w:t>
      </w:r>
      <w:r>
        <w:rPr>
          <w:rFonts w:ascii="Arial" w:hAnsi="Arial" w:cs="Arial"/>
          <w:i/>
          <w:sz w:val="20"/>
          <w:szCs w:val="20"/>
        </w:rPr>
        <w:t>et al.</w:t>
      </w:r>
      <w:r>
        <w:rPr>
          <w:rFonts w:ascii="Arial" w:hAnsi="Arial" w:cs="Arial"/>
          <w:sz w:val="20"/>
          <w:szCs w:val="20"/>
        </w:rPr>
        <w:t xml:space="preserve">, Limnology and Oceanography, </w:t>
      </w:r>
      <w:r>
        <w:rPr>
          <w:rFonts w:ascii="Arial" w:hAnsi="Arial" w:cs="Arial"/>
          <w:b/>
          <w:sz w:val="20"/>
          <w:szCs w:val="20"/>
        </w:rPr>
        <w:t>43</w:t>
      </w:r>
      <w:r>
        <w:rPr>
          <w:rFonts w:ascii="Arial" w:hAnsi="Arial" w:cs="Arial"/>
          <w:sz w:val="20"/>
          <w:szCs w:val="20"/>
        </w:rPr>
        <w:t>, 869-879 (2009).</w:t>
      </w:r>
    </w:p>
    <w:p w:rsidR="00AE2E47" w:rsidRDefault="00AE2E47" w:rsidP="00AE2E47">
      <w:pPr>
        <w:tabs>
          <w:tab w:val="left" w:pos="360"/>
        </w:tabs>
        <w:rPr>
          <w:rFonts w:ascii="Arial" w:hAnsi="Arial" w:cs="Arial"/>
          <w:sz w:val="20"/>
          <w:szCs w:val="20"/>
        </w:rPr>
      </w:pPr>
      <w:r>
        <w:rPr>
          <w:rFonts w:ascii="Arial" w:hAnsi="Arial" w:cs="Arial"/>
          <w:sz w:val="20"/>
          <w:szCs w:val="20"/>
        </w:rPr>
        <w:t>[4]</w:t>
      </w:r>
      <w:r>
        <w:rPr>
          <w:rFonts w:ascii="Arial" w:hAnsi="Arial" w:cs="Arial"/>
          <w:sz w:val="20"/>
          <w:szCs w:val="20"/>
        </w:rPr>
        <w:tab/>
      </w:r>
      <w:proofErr w:type="spellStart"/>
      <w:r>
        <w:rPr>
          <w:rFonts w:ascii="Arial" w:hAnsi="Arial" w:cs="Arial"/>
          <w:sz w:val="20"/>
          <w:szCs w:val="20"/>
        </w:rPr>
        <w:t>Laghdass</w:t>
      </w:r>
      <w:proofErr w:type="spellEnd"/>
      <w:r>
        <w:rPr>
          <w:rFonts w:ascii="Arial" w:hAnsi="Arial" w:cs="Arial"/>
          <w:sz w:val="20"/>
          <w:szCs w:val="20"/>
        </w:rPr>
        <w:t xml:space="preserve">, M., </w:t>
      </w:r>
      <w:r>
        <w:rPr>
          <w:rFonts w:ascii="Arial" w:hAnsi="Arial" w:cs="Arial"/>
          <w:i/>
          <w:sz w:val="20"/>
          <w:szCs w:val="20"/>
        </w:rPr>
        <w:t>et al.</w:t>
      </w:r>
      <w:r>
        <w:rPr>
          <w:rFonts w:ascii="Arial" w:hAnsi="Arial" w:cs="Arial"/>
          <w:sz w:val="20"/>
          <w:szCs w:val="20"/>
        </w:rPr>
        <w:t xml:space="preserve">, Aquatic Microbial Ecology, </w:t>
      </w:r>
      <w:r>
        <w:rPr>
          <w:rFonts w:ascii="Arial" w:hAnsi="Arial" w:cs="Arial"/>
          <w:b/>
          <w:sz w:val="20"/>
          <w:szCs w:val="20"/>
        </w:rPr>
        <w:t>62</w:t>
      </w:r>
      <w:r>
        <w:rPr>
          <w:rFonts w:ascii="Arial" w:hAnsi="Arial" w:cs="Arial"/>
          <w:sz w:val="20"/>
          <w:szCs w:val="20"/>
        </w:rPr>
        <w:t>, 201-213 (2011).</w:t>
      </w:r>
    </w:p>
    <w:p w:rsidR="00AE2E47" w:rsidRDefault="00AE2E47" w:rsidP="00AE2E47">
      <w:pPr>
        <w:tabs>
          <w:tab w:val="left" w:pos="360"/>
        </w:tabs>
        <w:rPr>
          <w:rFonts w:ascii="Arial" w:hAnsi="Arial" w:cs="Arial"/>
          <w:sz w:val="20"/>
          <w:szCs w:val="20"/>
        </w:rPr>
      </w:pPr>
      <w:r>
        <w:rPr>
          <w:rFonts w:ascii="Arial" w:hAnsi="Arial" w:cs="Arial"/>
          <w:sz w:val="20"/>
          <w:szCs w:val="20"/>
        </w:rPr>
        <w:t>[5]</w:t>
      </w:r>
      <w:r>
        <w:rPr>
          <w:rFonts w:ascii="Arial" w:hAnsi="Arial" w:cs="Arial"/>
          <w:sz w:val="20"/>
          <w:szCs w:val="20"/>
        </w:rPr>
        <w:tab/>
        <w:t xml:space="preserve">Hill, P.G., </w:t>
      </w:r>
      <w:r>
        <w:rPr>
          <w:rFonts w:ascii="Arial" w:hAnsi="Arial" w:cs="Arial"/>
          <w:i/>
          <w:sz w:val="20"/>
          <w:szCs w:val="20"/>
        </w:rPr>
        <w:t>et al.</w:t>
      </w:r>
      <w:r>
        <w:rPr>
          <w:rFonts w:ascii="Arial" w:hAnsi="Arial" w:cs="Arial"/>
          <w:sz w:val="20"/>
          <w:szCs w:val="20"/>
        </w:rPr>
        <w:t xml:space="preserve">, Microbial Ecology, </w:t>
      </w:r>
      <w:r>
        <w:rPr>
          <w:rFonts w:ascii="Arial" w:hAnsi="Arial" w:cs="Arial"/>
          <w:b/>
          <w:sz w:val="20"/>
          <w:szCs w:val="20"/>
        </w:rPr>
        <w:t>66</w:t>
      </w:r>
      <w:r>
        <w:rPr>
          <w:rFonts w:ascii="Arial" w:hAnsi="Arial" w:cs="Arial"/>
          <w:sz w:val="20"/>
          <w:szCs w:val="20"/>
        </w:rPr>
        <w:t>, 143-148 (2012).</w:t>
      </w:r>
    </w:p>
    <w:p w:rsidR="00AE2E47" w:rsidRDefault="00AE2E47" w:rsidP="00AE2E47">
      <w:pPr>
        <w:tabs>
          <w:tab w:val="left" w:pos="360"/>
        </w:tabs>
        <w:rPr>
          <w:rFonts w:ascii="Arial" w:hAnsi="Arial" w:cs="Arial"/>
          <w:sz w:val="20"/>
          <w:szCs w:val="20"/>
        </w:rPr>
      </w:pPr>
      <w:r>
        <w:rPr>
          <w:rFonts w:ascii="Arial" w:hAnsi="Arial" w:cs="Arial"/>
          <w:sz w:val="20"/>
          <w:szCs w:val="20"/>
        </w:rPr>
        <w:t>[6]</w:t>
      </w:r>
      <w:r>
        <w:rPr>
          <w:rFonts w:ascii="Arial" w:hAnsi="Arial" w:cs="Arial"/>
          <w:sz w:val="20"/>
          <w:szCs w:val="20"/>
        </w:rPr>
        <w:tab/>
      </w:r>
      <w:proofErr w:type="spellStart"/>
      <w:r>
        <w:rPr>
          <w:rFonts w:ascii="Arial" w:hAnsi="Arial" w:cs="Arial"/>
          <w:sz w:val="20"/>
          <w:szCs w:val="20"/>
        </w:rPr>
        <w:t>Lekunberri</w:t>
      </w:r>
      <w:proofErr w:type="spellEnd"/>
      <w:r>
        <w:rPr>
          <w:rFonts w:ascii="Arial" w:hAnsi="Arial" w:cs="Arial"/>
          <w:sz w:val="20"/>
          <w:szCs w:val="20"/>
        </w:rPr>
        <w:t xml:space="preserve">, I., </w:t>
      </w:r>
      <w:r>
        <w:rPr>
          <w:rFonts w:ascii="Arial" w:hAnsi="Arial" w:cs="Arial"/>
          <w:i/>
          <w:sz w:val="20"/>
          <w:szCs w:val="20"/>
        </w:rPr>
        <w:t>et al.</w:t>
      </w:r>
      <w:r>
        <w:rPr>
          <w:rFonts w:ascii="Arial" w:hAnsi="Arial" w:cs="Arial"/>
          <w:sz w:val="20"/>
          <w:szCs w:val="20"/>
        </w:rPr>
        <w:t xml:space="preserve">, Journal of Plankton Research, </w:t>
      </w:r>
      <w:r>
        <w:rPr>
          <w:rFonts w:ascii="Arial" w:hAnsi="Arial" w:cs="Arial"/>
          <w:b/>
          <w:sz w:val="20"/>
          <w:szCs w:val="20"/>
        </w:rPr>
        <w:t>32</w:t>
      </w:r>
      <w:r>
        <w:rPr>
          <w:rFonts w:ascii="Arial" w:hAnsi="Arial" w:cs="Arial"/>
          <w:sz w:val="20"/>
          <w:szCs w:val="20"/>
        </w:rPr>
        <w:t>, 381-396 (2010).</w:t>
      </w:r>
    </w:p>
    <w:p w:rsidR="00BA5EA4" w:rsidRPr="006B3824" w:rsidRDefault="00AE2E47" w:rsidP="0049187D">
      <w:pPr>
        <w:tabs>
          <w:tab w:val="left" w:pos="360"/>
        </w:tabs>
        <w:rPr>
          <w:rFonts w:ascii="Arial" w:hAnsi="Arial" w:cs="Arial"/>
          <w:sz w:val="20"/>
          <w:szCs w:val="20"/>
        </w:rPr>
      </w:pPr>
      <w:r>
        <w:rPr>
          <w:rFonts w:ascii="Arial" w:hAnsi="Arial" w:cs="Arial"/>
          <w:sz w:val="20"/>
          <w:szCs w:val="20"/>
        </w:rPr>
        <w:t>[7]</w:t>
      </w:r>
      <w:r>
        <w:rPr>
          <w:rFonts w:ascii="Arial" w:hAnsi="Arial" w:cs="Arial"/>
          <w:sz w:val="20"/>
          <w:szCs w:val="20"/>
        </w:rPr>
        <w:tab/>
        <w:t xml:space="preserve">Milne, A., </w:t>
      </w:r>
      <w:r>
        <w:rPr>
          <w:rFonts w:ascii="Arial" w:hAnsi="Arial" w:cs="Arial"/>
          <w:i/>
          <w:sz w:val="20"/>
          <w:szCs w:val="20"/>
        </w:rPr>
        <w:t>et al.</w:t>
      </w:r>
      <w:r>
        <w:rPr>
          <w:rFonts w:ascii="Arial" w:hAnsi="Arial" w:cs="Arial"/>
          <w:sz w:val="20"/>
          <w:szCs w:val="20"/>
        </w:rPr>
        <w:t xml:space="preserve">, Analytica Chimica Acta, </w:t>
      </w:r>
      <w:r>
        <w:rPr>
          <w:rFonts w:ascii="Arial" w:hAnsi="Arial" w:cs="Arial"/>
          <w:b/>
          <w:sz w:val="20"/>
          <w:szCs w:val="20"/>
        </w:rPr>
        <w:t>665</w:t>
      </w:r>
      <w:r>
        <w:rPr>
          <w:rFonts w:ascii="Arial" w:hAnsi="Arial" w:cs="Arial"/>
          <w:sz w:val="20"/>
          <w:szCs w:val="20"/>
        </w:rPr>
        <w:t>, 200-207 (2010).</w:t>
      </w:r>
    </w:p>
    <w:sectPr w:rsidR="00BA5EA4" w:rsidRPr="006B3824" w:rsidSect="00450C97">
      <w:headerReference w:type="even" r:id="rId12"/>
      <w:headerReference w:type="default" r:id="rId13"/>
      <w:footerReference w:type="even" r:id="rId14"/>
      <w:footerReference w:type="default" r:id="rId15"/>
      <w:headerReference w:type="first" r:id="rId16"/>
      <w:footerReference w:type="first" r:id="rId17"/>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94B" w:rsidRDefault="009E394B">
      <w:r>
        <w:separator/>
      </w:r>
    </w:p>
  </w:endnote>
  <w:endnote w:type="continuationSeparator" w:id="0">
    <w:p w:rsidR="009E394B" w:rsidRDefault="009E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94B" w:rsidRDefault="009E394B">
      <w:r>
        <w:separator/>
      </w:r>
    </w:p>
  </w:footnote>
  <w:footnote w:type="continuationSeparator" w:id="0">
    <w:p w:rsidR="009E394B" w:rsidRDefault="009E3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C6" w:rsidRDefault="00145EDA"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1200150</wp:posOffset>
              </wp:positionH>
              <wp:positionV relativeFrom="paragraph">
                <wp:posOffset>66040</wp:posOffset>
              </wp:positionV>
              <wp:extent cx="3876675" cy="429260"/>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rsidR="00F974C6" w:rsidRPr="00306550" w:rsidRDefault="001E6BF4" w:rsidP="001E6BF4">
                          <w:pPr>
                            <w:jc w:val="center"/>
                            <w:rPr>
                              <w:rFonts w:ascii="Arial" w:hAnsi="Arial" w:cs="Arial"/>
                              <w:b/>
                              <w:color w:val="17365D"/>
                              <w:sz w:val="22"/>
                              <w:szCs w:val="22"/>
                            </w:rPr>
                          </w:pPr>
                          <w:r w:rsidRPr="00306550">
                            <w:rPr>
                              <w:rFonts w:ascii="Arial" w:hAnsi="Arial" w:cs="Arial"/>
                              <w:b/>
                              <w:color w:val="17365D"/>
                              <w:sz w:val="22"/>
                              <w:szCs w:val="22"/>
                            </w:rPr>
                            <w:t>201</w:t>
                          </w:r>
                          <w:r w:rsidR="008A1D84">
                            <w:rPr>
                              <w:rFonts w:ascii="Arial" w:hAnsi="Arial" w:cs="Arial"/>
                              <w:b/>
                              <w:color w:val="17365D"/>
                              <w:sz w:val="22"/>
                              <w:szCs w:val="22"/>
                            </w:rPr>
                            <w:t xml:space="preserve">5 </w:t>
                          </w:r>
                          <w:r w:rsidR="00F974C6" w:rsidRPr="00306550">
                            <w:rPr>
                              <w:rFonts w:ascii="Arial" w:hAnsi="Arial" w:cs="Arial"/>
                              <w:b/>
                              <w:color w:val="17365D"/>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_x0000_s1028"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yc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" stroked="f">
              <v:textbox>
                <w:txbxContent>
                  <w:p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rsidR="00F974C6" w:rsidRPr="00306550" w:rsidRDefault="001E6BF4" w:rsidP="001E6BF4">
                    <w:pPr>
                      <w:jc w:val="center"/>
                      <w:rPr>
                        <w:rFonts w:ascii="Arial" w:hAnsi="Arial" w:cs="Arial"/>
                        <w:b/>
                        <w:color w:val="17365D"/>
                        <w:sz w:val="22"/>
                        <w:szCs w:val="22"/>
                      </w:rPr>
                    </w:pPr>
                    <w:r w:rsidRPr="00306550">
                      <w:rPr>
                        <w:rFonts w:ascii="Arial" w:hAnsi="Arial" w:cs="Arial"/>
                        <w:b/>
                        <w:color w:val="17365D"/>
                        <w:sz w:val="22"/>
                        <w:szCs w:val="22"/>
                      </w:rPr>
                      <w:t>201</w:t>
                    </w:r>
                    <w:r w:rsidR="008A1D84">
                      <w:rPr>
                        <w:rFonts w:ascii="Arial" w:hAnsi="Arial" w:cs="Arial"/>
                        <w:b/>
                        <w:color w:val="17365D"/>
                        <w:sz w:val="22"/>
                        <w:szCs w:val="22"/>
                      </w:rPr>
                      <w:t xml:space="preserve">5 </w:t>
                    </w:r>
                    <w:r w:rsidR="00F974C6" w:rsidRPr="00306550">
                      <w:rPr>
                        <w:rFonts w:ascii="Arial" w:hAnsi="Arial" w:cs="Arial"/>
                        <w:b/>
                        <w:color w:val="17365D"/>
                        <w:sz w:val="22"/>
                        <w:szCs w:val="22"/>
                      </w:rPr>
                      <w:t>ANNUAL RESEARCH REPORT</w:t>
                    </w:r>
                  </w:p>
                </w:txbxContent>
              </v:textbox>
            </v:shape>
          </w:pict>
        </mc:Fallback>
      </mc:AlternateContent>
    </w:r>
    <w:r>
      <w:rPr>
        <w:rFonts w:ascii="Arial" w:hAnsi="Arial" w:cs="Arial"/>
        <w:b/>
        <w:smallCaps/>
        <w:noProof/>
        <w:color w:val="1F497D"/>
        <w:spacing w:val="5"/>
        <w:sz w:val="22"/>
        <w:szCs w:val="22"/>
        <w:lang w:eastAsia="en-US"/>
      </w:rPr>
      <w:drawing>
        <wp:inline distT="0" distB="0" distL="0" distR="0">
          <wp:extent cx="518795" cy="628015"/>
          <wp:effectExtent l="0" t="0" r="0" b="635"/>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6280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20C55"/>
    <w:rsid w:val="000558AC"/>
    <w:rsid w:val="00061E33"/>
    <w:rsid w:val="000736B9"/>
    <w:rsid w:val="00085670"/>
    <w:rsid w:val="000A1716"/>
    <w:rsid w:val="000A59A8"/>
    <w:rsid w:val="000D2277"/>
    <w:rsid w:val="000D3516"/>
    <w:rsid w:val="000E1D4F"/>
    <w:rsid w:val="00104A4C"/>
    <w:rsid w:val="00113D92"/>
    <w:rsid w:val="00120180"/>
    <w:rsid w:val="0014131B"/>
    <w:rsid w:val="00141FE9"/>
    <w:rsid w:val="00145EDA"/>
    <w:rsid w:val="00155AD2"/>
    <w:rsid w:val="00167606"/>
    <w:rsid w:val="00167FC4"/>
    <w:rsid w:val="001747EC"/>
    <w:rsid w:val="00176DE2"/>
    <w:rsid w:val="001836FA"/>
    <w:rsid w:val="0018419E"/>
    <w:rsid w:val="0018697C"/>
    <w:rsid w:val="00187023"/>
    <w:rsid w:val="001D59E4"/>
    <w:rsid w:val="001E1A4D"/>
    <w:rsid w:val="001E526E"/>
    <w:rsid w:val="001E5ECF"/>
    <w:rsid w:val="001E6BF4"/>
    <w:rsid w:val="00206038"/>
    <w:rsid w:val="00231335"/>
    <w:rsid w:val="00233F11"/>
    <w:rsid w:val="00241739"/>
    <w:rsid w:val="002426D5"/>
    <w:rsid w:val="00250C5A"/>
    <w:rsid w:val="002524EE"/>
    <w:rsid w:val="00265A15"/>
    <w:rsid w:val="00290223"/>
    <w:rsid w:val="002C7675"/>
    <w:rsid w:val="00306550"/>
    <w:rsid w:val="00312C04"/>
    <w:rsid w:val="00314F09"/>
    <w:rsid w:val="00334CEB"/>
    <w:rsid w:val="003560D2"/>
    <w:rsid w:val="00363C8F"/>
    <w:rsid w:val="00376D2C"/>
    <w:rsid w:val="003842C3"/>
    <w:rsid w:val="00393065"/>
    <w:rsid w:val="00393AA2"/>
    <w:rsid w:val="003A1FF5"/>
    <w:rsid w:val="003C6493"/>
    <w:rsid w:val="003D12A9"/>
    <w:rsid w:val="003E2F8E"/>
    <w:rsid w:val="003F55A7"/>
    <w:rsid w:val="003F6E7E"/>
    <w:rsid w:val="00410D2C"/>
    <w:rsid w:val="00420894"/>
    <w:rsid w:val="00450C97"/>
    <w:rsid w:val="00486FF9"/>
    <w:rsid w:val="0049187D"/>
    <w:rsid w:val="00491C5D"/>
    <w:rsid w:val="004A227C"/>
    <w:rsid w:val="004A3423"/>
    <w:rsid w:val="004A7F73"/>
    <w:rsid w:val="004D672A"/>
    <w:rsid w:val="004F160B"/>
    <w:rsid w:val="005034C0"/>
    <w:rsid w:val="00511F7E"/>
    <w:rsid w:val="005146CB"/>
    <w:rsid w:val="005173CE"/>
    <w:rsid w:val="0053142A"/>
    <w:rsid w:val="005452B9"/>
    <w:rsid w:val="00583BC3"/>
    <w:rsid w:val="00586F32"/>
    <w:rsid w:val="005A1B84"/>
    <w:rsid w:val="005C4422"/>
    <w:rsid w:val="005C4667"/>
    <w:rsid w:val="005C5648"/>
    <w:rsid w:val="005E516C"/>
    <w:rsid w:val="00625028"/>
    <w:rsid w:val="00627F7D"/>
    <w:rsid w:val="0063683C"/>
    <w:rsid w:val="00646F25"/>
    <w:rsid w:val="006612DC"/>
    <w:rsid w:val="00672D41"/>
    <w:rsid w:val="006B3824"/>
    <w:rsid w:val="006C4440"/>
    <w:rsid w:val="006D745E"/>
    <w:rsid w:val="006E2CE0"/>
    <w:rsid w:val="006E4A9F"/>
    <w:rsid w:val="007207FF"/>
    <w:rsid w:val="00731C19"/>
    <w:rsid w:val="00734E94"/>
    <w:rsid w:val="00764FB5"/>
    <w:rsid w:val="00774A49"/>
    <w:rsid w:val="007B44CD"/>
    <w:rsid w:val="007C0813"/>
    <w:rsid w:val="007D3105"/>
    <w:rsid w:val="007E1492"/>
    <w:rsid w:val="007E2F28"/>
    <w:rsid w:val="00862CB5"/>
    <w:rsid w:val="00883638"/>
    <w:rsid w:val="008A1D84"/>
    <w:rsid w:val="008B05B8"/>
    <w:rsid w:val="008C5788"/>
    <w:rsid w:val="008E5BC5"/>
    <w:rsid w:val="008E5C85"/>
    <w:rsid w:val="008F35CC"/>
    <w:rsid w:val="008F6083"/>
    <w:rsid w:val="00903D53"/>
    <w:rsid w:val="009648AC"/>
    <w:rsid w:val="00982E85"/>
    <w:rsid w:val="009A0EDF"/>
    <w:rsid w:val="009A39F6"/>
    <w:rsid w:val="009A3F73"/>
    <w:rsid w:val="009B41B2"/>
    <w:rsid w:val="009C318D"/>
    <w:rsid w:val="009C3DF0"/>
    <w:rsid w:val="009C7F31"/>
    <w:rsid w:val="009D39A4"/>
    <w:rsid w:val="009E394B"/>
    <w:rsid w:val="009E4F1E"/>
    <w:rsid w:val="009F57F8"/>
    <w:rsid w:val="00A1227A"/>
    <w:rsid w:val="00A43CDE"/>
    <w:rsid w:val="00A55035"/>
    <w:rsid w:val="00A758E6"/>
    <w:rsid w:val="00A94FC4"/>
    <w:rsid w:val="00AC297F"/>
    <w:rsid w:val="00AC4AFE"/>
    <w:rsid w:val="00AD3CDD"/>
    <w:rsid w:val="00AE142B"/>
    <w:rsid w:val="00AE2E47"/>
    <w:rsid w:val="00AF7C63"/>
    <w:rsid w:val="00B00CDB"/>
    <w:rsid w:val="00B25D4D"/>
    <w:rsid w:val="00B45112"/>
    <w:rsid w:val="00B5585D"/>
    <w:rsid w:val="00B56BB9"/>
    <w:rsid w:val="00B61082"/>
    <w:rsid w:val="00B71405"/>
    <w:rsid w:val="00B75DC9"/>
    <w:rsid w:val="00B77285"/>
    <w:rsid w:val="00B94321"/>
    <w:rsid w:val="00B95C56"/>
    <w:rsid w:val="00B95FCB"/>
    <w:rsid w:val="00B96080"/>
    <w:rsid w:val="00BA00BE"/>
    <w:rsid w:val="00BA5EA4"/>
    <w:rsid w:val="00BA7096"/>
    <w:rsid w:val="00BB2212"/>
    <w:rsid w:val="00BC4262"/>
    <w:rsid w:val="00BE190C"/>
    <w:rsid w:val="00BE2257"/>
    <w:rsid w:val="00BF610E"/>
    <w:rsid w:val="00C02989"/>
    <w:rsid w:val="00C076C7"/>
    <w:rsid w:val="00C13313"/>
    <w:rsid w:val="00C75A17"/>
    <w:rsid w:val="00C81666"/>
    <w:rsid w:val="00C83434"/>
    <w:rsid w:val="00C83EAA"/>
    <w:rsid w:val="00C93F0D"/>
    <w:rsid w:val="00CA6625"/>
    <w:rsid w:val="00CA6D78"/>
    <w:rsid w:val="00CB0819"/>
    <w:rsid w:val="00CB1A7C"/>
    <w:rsid w:val="00CB4058"/>
    <w:rsid w:val="00CC5B40"/>
    <w:rsid w:val="00CE3F90"/>
    <w:rsid w:val="00D01F6B"/>
    <w:rsid w:val="00D0313F"/>
    <w:rsid w:val="00D0446F"/>
    <w:rsid w:val="00D07879"/>
    <w:rsid w:val="00D1756D"/>
    <w:rsid w:val="00D334AA"/>
    <w:rsid w:val="00D570DF"/>
    <w:rsid w:val="00D65CBB"/>
    <w:rsid w:val="00D67B56"/>
    <w:rsid w:val="00D851F6"/>
    <w:rsid w:val="00DD44E5"/>
    <w:rsid w:val="00DE3216"/>
    <w:rsid w:val="00E04B24"/>
    <w:rsid w:val="00E07ED9"/>
    <w:rsid w:val="00E25473"/>
    <w:rsid w:val="00E411D1"/>
    <w:rsid w:val="00E43BB4"/>
    <w:rsid w:val="00E5095B"/>
    <w:rsid w:val="00E51E05"/>
    <w:rsid w:val="00E57E61"/>
    <w:rsid w:val="00E60509"/>
    <w:rsid w:val="00EA1E33"/>
    <w:rsid w:val="00EB489A"/>
    <w:rsid w:val="00EB515D"/>
    <w:rsid w:val="00EE71C8"/>
    <w:rsid w:val="00F23F2F"/>
    <w:rsid w:val="00F31351"/>
    <w:rsid w:val="00F31B06"/>
    <w:rsid w:val="00F43581"/>
    <w:rsid w:val="00F4530F"/>
    <w:rsid w:val="00F45B22"/>
    <w:rsid w:val="00F52E02"/>
    <w:rsid w:val="00F54466"/>
    <w:rsid w:val="00F8198A"/>
    <w:rsid w:val="00F908F6"/>
    <w:rsid w:val="00F927E9"/>
    <w:rsid w:val="00F935F1"/>
    <w:rsid w:val="00F95583"/>
    <w:rsid w:val="00F974C6"/>
    <w:rsid w:val="00FB4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character" w:styleId="CommentReference">
    <w:name w:val="annotation reference"/>
    <w:basedOn w:val="DefaultParagraphFont"/>
    <w:rsid w:val="00145EDA"/>
    <w:rPr>
      <w:sz w:val="16"/>
      <w:szCs w:val="16"/>
    </w:rPr>
  </w:style>
  <w:style w:type="paragraph" w:styleId="CommentText">
    <w:name w:val="annotation text"/>
    <w:basedOn w:val="Normal"/>
    <w:link w:val="CommentTextChar"/>
    <w:rsid w:val="00145EDA"/>
    <w:rPr>
      <w:sz w:val="20"/>
      <w:szCs w:val="20"/>
    </w:rPr>
  </w:style>
  <w:style w:type="character" w:customStyle="1" w:styleId="CommentTextChar">
    <w:name w:val="Comment Text Char"/>
    <w:basedOn w:val="DefaultParagraphFont"/>
    <w:link w:val="CommentText"/>
    <w:rsid w:val="00145EDA"/>
    <w:rPr>
      <w:lang w:eastAsia="ja-JP"/>
    </w:rPr>
  </w:style>
  <w:style w:type="paragraph" w:styleId="CommentSubject">
    <w:name w:val="annotation subject"/>
    <w:basedOn w:val="CommentText"/>
    <w:next w:val="CommentText"/>
    <w:link w:val="CommentSubjectChar"/>
    <w:rsid w:val="00145EDA"/>
    <w:rPr>
      <w:b/>
      <w:bCs/>
    </w:rPr>
  </w:style>
  <w:style w:type="character" w:customStyle="1" w:styleId="CommentSubjectChar">
    <w:name w:val="Comment Subject Char"/>
    <w:basedOn w:val="CommentTextChar"/>
    <w:link w:val="CommentSubject"/>
    <w:rsid w:val="00145EDA"/>
    <w:rPr>
      <w:b/>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character" w:styleId="CommentReference">
    <w:name w:val="annotation reference"/>
    <w:basedOn w:val="DefaultParagraphFont"/>
    <w:rsid w:val="00145EDA"/>
    <w:rPr>
      <w:sz w:val="16"/>
      <w:szCs w:val="16"/>
    </w:rPr>
  </w:style>
  <w:style w:type="paragraph" w:styleId="CommentText">
    <w:name w:val="annotation text"/>
    <w:basedOn w:val="Normal"/>
    <w:link w:val="CommentTextChar"/>
    <w:rsid w:val="00145EDA"/>
    <w:rPr>
      <w:sz w:val="20"/>
      <w:szCs w:val="20"/>
    </w:rPr>
  </w:style>
  <w:style w:type="character" w:customStyle="1" w:styleId="CommentTextChar">
    <w:name w:val="Comment Text Char"/>
    <w:basedOn w:val="DefaultParagraphFont"/>
    <w:link w:val="CommentText"/>
    <w:rsid w:val="00145EDA"/>
    <w:rPr>
      <w:lang w:eastAsia="ja-JP"/>
    </w:rPr>
  </w:style>
  <w:style w:type="paragraph" w:styleId="CommentSubject">
    <w:name w:val="annotation subject"/>
    <w:basedOn w:val="CommentText"/>
    <w:next w:val="CommentText"/>
    <w:link w:val="CommentSubjectChar"/>
    <w:rsid w:val="00145EDA"/>
    <w:rPr>
      <w:b/>
      <w:bCs/>
    </w:rPr>
  </w:style>
  <w:style w:type="character" w:customStyle="1" w:styleId="CommentSubjectChar">
    <w:name w:val="Comment Subject Char"/>
    <w:basedOn w:val="CommentTextChar"/>
    <w:link w:val="CommentSubject"/>
    <w:rsid w:val="00145EDA"/>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8F5D4D-748B-4574-A706-3F69CB55225E}">
  <ds:schemaRefs>
    <ds:schemaRef ds:uri="http://schemas.microsoft.com/sharepoint/v3/contenttype/form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3BB56C1-07DF-4EC2-AB3F-460CECD9DC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1</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3</cp:revision>
  <cp:lastPrinted>2015-11-18T13:50:00Z</cp:lastPrinted>
  <dcterms:created xsi:type="dcterms:W3CDTF">2016-03-21T16:26:00Z</dcterms:created>
  <dcterms:modified xsi:type="dcterms:W3CDTF">2016-03-21T16:27:00Z</dcterms:modified>
</cp:coreProperties>
</file>