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2F29" w14:textId="77777777" w:rsidR="00C75A17" w:rsidRPr="00D65CBB" w:rsidRDefault="003C5D2E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Impact of </w:t>
      </w:r>
      <w:r w:rsidR="00920302">
        <w:rPr>
          <w:rFonts w:ascii="Arial" w:hAnsi="Arial" w:cs="Arial"/>
          <w:b/>
        </w:rPr>
        <w:t>Acid-C</w:t>
      </w:r>
      <w:r>
        <w:rPr>
          <w:rFonts w:ascii="Arial" w:hAnsi="Arial" w:cs="Arial"/>
          <w:b/>
        </w:rPr>
        <w:t xml:space="preserve">leaning on the </w:t>
      </w:r>
      <w:r w:rsidR="0092030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olar </w:t>
      </w:r>
      <w:r w:rsidR="009203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ind </w:t>
      </w:r>
      <w:r w:rsidR="0092030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ayer of </w:t>
      </w:r>
      <w:r w:rsidRPr="00920302">
        <w:rPr>
          <w:rFonts w:ascii="Arial" w:hAnsi="Arial" w:cs="Arial"/>
          <w:b/>
          <w:i/>
        </w:rPr>
        <w:t>Genesis</w:t>
      </w:r>
      <w:r>
        <w:rPr>
          <w:rFonts w:ascii="Arial" w:hAnsi="Arial" w:cs="Arial"/>
          <w:b/>
        </w:rPr>
        <w:t xml:space="preserve"> </w:t>
      </w:r>
      <w:r w:rsidR="00920302">
        <w:rPr>
          <w:rFonts w:ascii="Arial" w:hAnsi="Arial" w:cs="Arial"/>
          <w:b/>
        </w:rPr>
        <w:t>Flight Wafers – Partial Dissolution and Recovery of the Lithium-6 I</w:t>
      </w:r>
      <w:r>
        <w:rPr>
          <w:rFonts w:ascii="Arial" w:hAnsi="Arial" w:cs="Arial"/>
          <w:b/>
        </w:rPr>
        <w:t>mplant</w:t>
      </w:r>
    </w:p>
    <w:p w14:paraId="14C20CDE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74535F" w14:textId="594D1D67" w:rsidR="00A94FC4" w:rsidRPr="006B3824" w:rsidRDefault="003C5D2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3C5D2E">
        <w:rPr>
          <w:rFonts w:ascii="Arial" w:hAnsi="Arial" w:cs="Arial"/>
          <w:sz w:val="20"/>
          <w:szCs w:val="20"/>
        </w:rPr>
        <w:t>Waeselmann</w:t>
      </w:r>
      <w:proofErr w:type="spellEnd"/>
      <w:r>
        <w:rPr>
          <w:rFonts w:ascii="Arial" w:hAnsi="Arial" w:cs="Arial"/>
          <w:sz w:val="20"/>
          <w:szCs w:val="20"/>
        </w:rPr>
        <w:t>, N. (EOAS, FSU)</w:t>
      </w:r>
      <w:r w:rsidR="0058184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5D50">
        <w:rPr>
          <w:rFonts w:ascii="Arial" w:hAnsi="Arial" w:cs="Arial"/>
          <w:sz w:val="20"/>
          <w:szCs w:val="20"/>
          <w:u w:val="single"/>
        </w:rPr>
        <w:t>Humayun</w:t>
      </w:r>
      <w:proofErr w:type="spellEnd"/>
      <w:r w:rsidRPr="00B45D50">
        <w:rPr>
          <w:rFonts w:ascii="Arial" w:hAnsi="Arial" w:cs="Arial"/>
          <w:sz w:val="20"/>
          <w:szCs w:val="20"/>
          <w:u w:val="single"/>
        </w:rPr>
        <w:t>, M</w:t>
      </w:r>
      <w:r>
        <w:rPr>
          <w:rFonts w:ascii="Arial" w:hAnsi="Arial" w:cs="Arial"/>
          <w:sz w:val="20"/>
          <w:szCs w:val="20"/>
        </w:rPr>
        <w:t>. (EOAS, FSU)</w:t>
      </w:r>
      <w:r w:rsidR="0058184C">
        <w:rPr>
          <w:rFonts w:ascii="Arial" w:hAnsi="Arial" w:cs="Arial"/>
          <w:sz w:val="20"/>
          <w:szCs w:val="20"/>
        </w:rPr>
        <w:t>;</w:t>
      </w:r>
      <w:r w:rsidRPr="003C5D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D2E">
        <w:rPr>
          <w:rFonts w:ascii="Arial" w:hAnsi="Arial" w:cs="Arial"/>
          <w:sz w:val="20"/>
          <w:szCs w:val="20"/>
        </w:rPr>
        <w:t>Goreva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3C5D2E">
        <w:rPr>
          <w:rFonts w:ascii="Arial" w:hAnsi="Arial" w:cs="Arial"/>
          <w:sz w:val="20"/>
          <w:szCs w:val="20"/>
        </w:rPr>
        <w:t>Y.S.</w:t>
      </w:r>
      <w:r>
        <w:rPr>
          <w:rFonts w:ascii="Arial" w:hAnsi="Arial" w:cs="Arial"/>
          <w:sz w:val="20"/>
          <w:szCs w:val="20"/>
        </w:rPr>
        <w:t xml:space="preserve"> (Smithsonian Institute)</w:t>
      </w:r>
      <w:r w:rsidR="0058184C">
        <w:rPr>
          <w:rFonts w:ascii="Arial" w:hAnsi="Arial" w:cs="Arial"/>
          <w:sz w:val="20"/>
          <w:szCs w:val="20"/>
        </w:rPr>
        <w:t>;</w:t>
      </w:r>
      <w:r w:rsidRPr="003C5D2E">
        <w:rPr>
          <w:rFonts w:ascii="Arial" w:hAnsi="Arial" w:cs="Arial"/>
          <w:sz w:val="20"/>
          <w:szCs w:val="20"/>
        </w:rPr>
        <w:t xml:space="preserve"> Burnett</w:t>
      </w:r>
      <w:r>
        <w:rPr>
          <w:rFonts w:ascii="Arial" w:hAnsi="Arial" w:cs="Arial"/>
          <w:sz w:val="20"/>
          <w:szCs w:val="20"/>
        </w:rPr>
        <w:t>,</w:t>
      </w:r>
      <w:r w:rsidRPr="003C5D2E">
        <w:rPr>
          <w:rFonts w:ascii="Arial" w:hAnsi="Arial" w:cs="Arial"/>
          <w:sz w:val="20"/>
          <w:szCs w:val="20"/>
        </w:rPr>
        <w:t xml:space="preserve"> D.S.</w:t>
      </w:r>
      <w:r>
        <w:rPr>
          <w:rFonts w:ascii="Arial" w:hAnsi="Arial" w:cs="Arial"/>
          <w:sz w:val="20"/>
          <w:szCs w:val="20"/>
        </w:rPr>
        <w:t xml:space="preserve"> (California Institute of Technology)</w:t>
      </w:r>
      <w:r w:rsidR="0058184C">
        <w:rPr>
          <w:rFonts w:ascii="Arial" w:hAnsi="Arial" w:cs="Arial"/>
          <w:sz w:val="20"/>
          <w:szCs w:val="20"/>
        </w:rPr>
        <w:t xml:space="preserve"> and</w:t>
      </w:r>
      <w:r w:rsidRPr="003C5D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D2E">
        <w:rPr>
          <w:rFonts w:ascii="Arial" w:hAnsi="Arial" w:cs="Arial"/>
          <w:sz w:val="20"/>
          <w:szCs w:val="20"/>
        </w:rPr>
        <w:t>Jurewicz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3C5D2E">
        <w:rPr>
          <w:rFonts w:ascii="Arial" w:hAnsi="Arial" w:cs="Arial"/>
          <w:sz w:val="20"/>
          <w:szCs w:val="20"/>
        </w:rPr>
        <w:t xml:space="preserve"> A.</w:t>
      </w:r>
      <w:r>
        <w:rPr>
          <w:rFonts w:ascii="Arial" w:hAnsi="Arial" w:cs="Arial"/>
          <w:sz w:val="20"/>
          <w:szCs w:val="20"/>
        </w:rPr>
        <w:t xml:space="preserve"> (Center for Meteorite Studies, Arizona State University)</w:t>
      </w:r>
    </w:p>
    <w:p w14:paraId="50AF6297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E90BE33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01DD7349" w14:textId="77777777" w:rsidR="00F5422D" w:rsidRPr="00F5422D" w:rsidRDefault="006B3824" w:rsidP="00F5422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F5422D" w:rsidRPr="00F5422D">
        <w:rPr>
          <w:rFonts w:ascii="Arial" w:hAnsi="Arial" w:cs="Arial"/>
          <w:sz w:val="20"/>
          <w:szCs w:val="20"/>
        </w:rPr>
        <w:t xml:space="preserve">Determination of the oxygen isotope composition of the Sun was the top priority for the NASA </w:t>
      </w:r>
      <w:r w:rsidR="00F5422D" w:rsidRPr="00F5422D">
        <w:rPr>
          <w:rFonts w:ascii="Arial" w:hAnsi="Arial" w:cs="Arial"/>
          <w:i/>
          <w:sz w:val="20"/>
          <w:szCs w:val="20"/>
        </w:rPr>
        <w:t>Genesis</w:t>
      </w:r>
      <w:r w:rsidR="00F5422D" w:rsidRPr="00F5422D">
        <w:rPr>
          <w:rFonts w:ascii="Arial" w:hAnsi="Arial" w:cs="Arial"/>
          <w:sz w:val="20"/>
          <w:szCs w:val="20"/>
        </w:rPr>
        <w:t xml:space="preserve"> mission</w:t>
      </w:r>
      <w:r w:rsidR="00B540E6">
        <w:rPr>
          <w:rFonts w:ascii="Arial" w:hAnsi="Arial" w:cs="Arial"/>
          <w:sz w:val="20"/>
          <w:szCs w:val="20"/>
        </w:rPr>
        <w:t xml:space="preserve"> [1]</w:t>
      </w:r>
      <w:r w:rsidR="00F5422D" w:rsidRPr="00F5422D">
        <w:rPr>
          <w:rFonts w:ascii="Arial" w:hAnsi="Arial" w:cs="Arial"/>
          <w:sz w:val="20"/>
          <w:szCs w:val="20"/>
        </w:rPr>
        <w:t>. The successful measurement of oxygen isotopes has triggered a discussion on the role of mass fractionation due to</w:t>
      </w:r>
      <w:r w:rsidR="00D74F75">
        <w:rPr>
          <w:rFonts w:ascii="Arial" w:hAnsi="Arial" w:cs="Arial"/>
          <w:sz w:val="20"/>
          <w:szCs w:val="20"/>
        </w:rPr>
        <w:t xml:space="preserve"> Inefficient Coulomb Drag</w:t>
      </w:r>
      <w:r w:rsidR="00F5422D" w:rsidRPr="00F5422D">
        <w:rPr>
          <w:rFonts w:ascii="Arial" w:hAnsi="Arial" w:cs="Arial"/>
          <w:sz w:val="20"/>
          <w:szCs w:val="20"/>
        </w:rPr>
        <w:t xml:space="preserve"> </w:t>
      </w:r>
      <w:r w:rsidR="00D74F75">
        <w:rPr>
          <w:rFonts w:ascii="Arial" w:hAnsi="Arial" w:cs="Arial"/>
          <w:sz w:val="20"/>
          <w:szCs w:val="20"/>
        </w:rPr>
        <w:t>(</w:t>
      </w:r>
      <w:r w:rsidR="00F5422D" w:rsidRPr="00F5422D">
        <w:rPr>
          <w:rFonts w:ascii="Arial" w:hAnsi="Arial" w:cs="Arial"/>
          <w:sz w:val="20"/>
          <w:szCs w:val="20"/>
        </w:rPr>
        <w:t>ICD</w:t>
      </w:r>
      <w:r w:rsidR="00D74F75">
        <w:rPr>
          <w:rFonts w:ascii="Arial" w:hAnsi="Arial" w:cs="Arial"/>
          <w:sz w:val="20"/>
          <w:szCs w:val="20"/>
        </w:rPr>
        <w:t>)</w:t>
      </w:r>
      <w:r w:rsidR="00F5422D" w:rsidRPr="00F5422D">
        <w:rPr>
          <w:rFonts w:ascii="Arial" w:hAnsi="Arial" w:cs="Arial"/>
          <w:sz w:val="20"/>
          <w:szCs w:val="20"/>
        </w:rPr>
        <w:t xml:space="preserve"> that may have displaced the oxygen isotope composition of the solar wind from that of the photosphere. There are other interpretations involving </w:t>
      </w:r>
      <w:proofErr w:type="spellStart"/>
      <w:r w:rsidR="00F5422D" w:rsidRPr="00F5422D">
        <w:rPr>
          <w:rFonts w:ascii="Arial" w:hAnsi="Arial" w:cs="Arial"/>
          <w:sz w:val="20"/>
          <w:szCs w:val="20"/>
        </w:rPr>
        <w:t>photochemically</w:t>
      </w:r>
      <w:proofErr w:type="spellEnd"/>
      <w:r w:rsidR="00F5422D" w:rsidRPr="00F5422D">
        <w:rPr>
          <w:rFonts w:ascii="Arial" w:hAnsi="Arial" w:cs="Arial"/>
          <w:sz w:val="20"/>
          <w:szCs w:val="20"/>
        </w:rPr>
        <w:t>-induced mass-independent fractionation in the solar wind</w:t>
      </w:r>
      <w:r w:rsidR="00F5422D">
        <w:rPr>
          <w:rFonts w:ascii="Arial" w:hAnsi="Arial" w:cs="Arial"/>
          <w:sz w:val="20"/>
          <w:szCs w:val="20"/>
        </w:rPr>
        <w:t xml:space="preserve"> (SW)</w:t>
      </w:r>
      <w:r w:rsidR="00F5422D" w:rsidRPr="00F5422D">
        <w:rPr>
          <w:rFonts w:ascii="Arial" w:hAnsi="Arial" w:cs="Arial"/>
          <w:sz w:val="20"/>
          <w:szCs w:val="20"/>
        </w:rPr>
        <w:t xml:space="preserve">. These issues can be resolved by determining the Mg isotope composition of the solar wind, which is currently the highest priority objective for the </w:t>
      </w:r>
      <w:r w:rsidR="00F5422D" w:rsidRPr="00F5422D">
        <w:rPr>
          <w:rFonts w:ascii="Arial" w:hAnsi="Arial" w:cs="Arial"/>
          <w:i/>
          <w:sz w:val="20"/>
          <w:szCs w:val="20"/>
        </w:rPr>
        <w:t>Genesis</w:t>
      </w:r>
      <w:r w:rsidR="00F5422D" w:rsidRPr="00F5422D">
        <w:rPr>
          <w:rFonts w:ascii="Arial" w:hAnsi="Arial" w:cs="Arial"/>
          <w:sz w:val="20"/>
          <w:szCs w:val="20"/>
        </w:rPr>
        <w:t xml:space="preserve"> mission. </w:t>
      </w:r>
    </w:p>
    <w:p w14:paraId="279C794F" w14:textId="77777777" w:rsidR="00F5422D" w:rsidRPr="00F5422D" w:rsidRDefault="00F5422D" w:rsidP="00F5422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2A70">
        <w:rPr>
          <w:rFonts w:ascii="Arial" w:hAnsi="Arial" w:cs="Arial"/>
          <w:sz w:val="20"/>
          <w:szCs w:val="20"/>
        </w:rPr>
        <w:t>The</w:t>
      </w:r>
      <w:r w:rsidRPr="00F5422D">
        <w:rPr>
          <w:rFonts w:ascii="Arial" w:hAnsi="Arial" w:cs="Arial"/>
          <w:sz w:val="20"/>
          <w:szCs w:val="20"/>
        </w:rPr>
        <w:t xml:space="preserve"> surfaces </w:t>
      </w:r>
      <w:r w:rsidR="00A82A70">
        <w:rPr>
          <w:rFonts w:ascii="Arial" w:hAnsi="Arial" w:cs="Arial"/>
          <w:sz w:val="20"/>
          <w:szCs w:val="20"/>
        </w:rPr>
        <w:t xml:space="preserve">of Si wafers </w:t>
      </w:r>
      <w:r w:rsidRPr="00F5422D">
        <w:rPr>
          <w:rFonts w:ascii="Arial" w:hAnsi="Arial" w:cs="Arial"/>
          <w:sz w:val="20"/>
          <w:szCs w:val="20"/>
        </w:rPr>
        <w:t>have to be thoroughly cleaned to remove Mg from UTTR debris</w:t>
      </w:r>
      <w:r w:rsidR="00A82A70">
        <w:rPr>
          <w:rFonts w:ascii="Arial" w:hAnsi="Arial" w:cs="Arial"/>
          <w:sz w:val="20"/>
          <w:szCs w:val="20"/>
        </w:rPr>
        <w:t xml:space="preserve"> due to the 2004 crash landing of the mission</w:t>
      </w:r>
      <w:r w:rsidRPr="00F5422D">
        <w:rPr>
          <w:rFonts w:ascii="Arial" w:hAnsi="Arial" w:cs="Arial"/>
          <w:sz w:val="20"/>
          <w:szCs w:val="20"/>
        </w:rPr>
        <w:t>. The aggressive acid cleaning procedures devised to clean Genesis flight wafers cause concerns that some of the SW implant may be removed, as well, biasing the δ</w:t>
      </w:r>
      <w:r w:rsidRPr="00F5422D">
        <w:rPr>
          <w:rFonts w:ascii="Arial" w:hAnsi="Arial" w:cs="Arial"/>
          <w:sz w:val="20"/>
          <w:szCs w:val="20"/>
          <w:vertAlign w:val="superscript"/>
        </w:rPr>
        <w:t>26</w:t>
      </w:r>
      <w:r w:rsidRPr="00F5422D">
        <w:rPr>
          <w:rFonts w:ascii="Arial" w:hAnsi="Arial" w:cs="Arial"/>
          <w:sz w:val="20"/>
          <w:szCs w:val="20"/>
        </w:rPr>
        <w:t xml:space="preserve">Mg to heavier values. </w:t>
      </w:r>
      <w:r w:rsidR="00A82A70">
        <w:rPr>
          <w:rFonts w:ascii="Arial" w:hAnsi="Arial" w:cs="Arial"/>
          <w:sz w:val="20"/>
          <w:szCs w:val="20"/>
        </w:rPr>
        <w:t>A</w:t>
      </w:r>
      <w:r w:rsidRPr="00F5422D">
        <w:rPr>
          <w:rFonts w:ascii="Arial" w:hAnsi="Arial" w:cs="Arial"/>
          <w:sz w:val="20"/>
          <w:szCs w:val="20"/>
        </w:rPr>
        <w:t xml:space="preserve">chieving a quantitative </w:t>
      </w:r>
      <w:r w:rsidR="00A82A70">
        <w:rPr>
          <w:rFonts w:ascii="Arial" w:hAnsi="Arial" w:cs="Arial"/>
          <w:sz w:val="20"/>
          <w:szCs w:val="20"/>
        </w:rPr>
        <w:t>removal of the SW-bearing layer</w:t>
      </w:r>
      <w:r w:rsidRPr="00F5422D">
        <w:rPr>
          <w:rFonts w:ascii="Arial" w:hAnsi="Arial" w:cs="Arial"/>
          <w:sz w:val="20"/>
          <w:szCs w:val="20"/>
        </w:rPr>
        <w:t xml:space="preserve"> is not easy, which could bias the δ</w:t>
      </w:r>
      <w:r w:rsidRPr="00F5422D">
        <w:rPr>
          <w:rFonts w:ascii="Arial" w:hAnsi="Arial" w:cs="Arial"/>
          <w:sz w:val="20"/>
          <w:szCs w:val="20"/>
          <w:vertAlign w:val="superscript"/>
        </w:rPr>
        <w:t>26</w:t>
      </w:r>
      <w:r w:rsidRPr="00F5422D">
        <w:rPr>
          <w:rFonts w:ascii="Arial" w:hAnsi="Arial" w:cs="Arial"/>
          <w:sz w:val="20"/>
          <w:szCs w:val="20"/>
        </w:rPr>
        <w:t>Mg to lighter values</w:t>
      </w:r>
      <w:r w:rsidR="00A82A70">
        <w:rPr>
          <w:rFonts w:ascii="Arial" w:hAnsi="Arial" w:cs="Arial"/>
          <w:sz w:val="20"/>
          <w:szCs w:val="20"/>
        </w:rPr>
        <w:t xml:space="preserve"> since the heaviest Mg isotopes are the most deeply implanted</w:t>
      </w:r>
      <w:r w:rsidRPr="00F5422D">
        <w:rPr>
          <w:rFonts w:ascii="Arial" w:hAnsi="Arial" w:cs="Arial"/>
          <w:sz w:val="20"/>
          <w:szCs w:val="20"/>
        </w:rPr>
        <w:t xml:space="preserve">. To overcome both of these problems, the wafers under investigation were ion-implanted with </w:t>
      </w:r>
      <w:r w:rsidRPr="00F5422D">
        <w:rPr>
          <w:rFonts w:ascii="Arial" w:hAnsi="Arial" w:cs="Arial"/>
          <w:sz w:val="20"/>
          <w:szCs w:val="20"/>
          <w:vertAlign w:val="superscript"/>
        </w:rPr>
        <w:t>6</w:t>
      </w:r>
      <w:r w:rsidRPr="00F5422D">
        <w:rPr>
          <w:rFonts w:ascii="Arial" w:hAnsi="Arial" w:cs="Arial"/>
          <w:sz w:val="20"/>
          <w:szCs w:val="20"/>
        </w:rPr>
        <w:t>Li</w:t>
      </w:r>
      <w:r w:rsidR="002F347A">
        <w:rPr>
          <w:rFonts w:ascii="Arial" w:hAnsi="Arial" w:cs="Arial"/>
          <w:sz w:val="20"/>
          <w:szCs w:val="20"/>
        </w:rPr>
        <w:t xml:space="preserve"> (Leonard </w:t>
      </w:r>
      <w:proofErr w:type="spellStart"/>
      <w:r w:rsidR="002F347A">
        <w:rPr>
          <w:rFonts w:ascii="Arial" w:hAnsi="Arial" w:cs="Arial"/>
          <w:sz w:val="20"/>
          <w:szCs w:val="20"/>
        </w:rPr>
        <w:t>Kroko</w:t>
      </w:r>
      <w:proofErr w:type="spellEnd"/>
      <w:r w:rsidR="002F347A">
        <w:rPr>
          <w:rFonts w:ascii="Arial" w:hAnsi="Arial" w:cs="Arial"/>
          <w:sz w:val="20"/>
          <w:szCs w:val="20"/>
        </w:rPr>
        <w:t xml:space="preserve"> Inc.</w:t>
      </w:r>
      <w:r w:rsidR="00A82A70">
        <w:rPr>
          <w:rFonts w:ascii="Arial" w:hAnsi="Arial" w:cs="Arial"/>
          <w:sz w:val="20"/>
          <w:szCs w:val="20"/>
        </w:rPr>
        <w:t>,</w:t>
      </w:r>
      <w:r w:rsidR="002F347A" w:rsidRPr="00B03CCA">
        <w:rPr>
          <w:rFonts w:ascii="Arial" w:hAnsi="Arial" w:cs="Arial"/>
          <w:sz w:val="20"/>
          <w:szCs w:val="20"/>
        </w:rPr>
        <w:t xml:space="preserve"> </w:t>
      </w:r>
      <w:r w:rsidR="002F347A">
        <w:rPr>
          <w:rFonts w:ascii="Arial" w:hAnsi="Arial" w:cs="Arial"/>
          <w:sz w:val="20"/>
          <w:szCs w:val="20"/>
        </w:rPr>
        <w:t xml:space="preserve">15 </w:t>
      </w:r>
      <w:proofErr w:type="spellStart"/>
      <w:r w:rsidR="002F347A">
        <w:rPr>
          <w:rFonts w:ascii="Arial" w:hAnsi="Arial" w:cs="Arial"/>
          <w:sz w:val="20"/>
          <w:szCs w:val="20"/>
        </w:rPr>
        <w:t>keV</w:t>
      </w:r>
      <w:proofErr w:type="spellEnd"/>
      <w:r w:rsidR="002F347A">
        <w:rPr>
          <w:rFonts w:ascii="Arial" w:hAnsi="Arial" w:cs="Arial"/>
          <w:sz w:val="20"/>
          <w:szCs w:val="20"/>
        </w:rPr>
        <w:t>,</w:t>
      </w:r>
      <w:r w:rsidR="002F347A" w:rsidRPr="00B03CCA">
        <w:rPr>
          <w:rFonts w:ascii="Arial" w:hAnsi="Arial" w:cs="Arial"/>
          <w:sz w:val="20"/>
          <w:szCs w:val="20"/>
        </w:rPr>
        <w:t xml:space="preserve"> 0.4 µA</w:t>
      </w:r>
      <w:r w:rsidR="002F347A">
        <w:rPr>
          <w:rFonts w:ascii="Arial" w:hAnsi="Arial" w:cs="Arial"/>
          <w:sz w:val="20"/>
          <w:szCs w:val="20"/>
        </w:rPr>
        <w:t>,</w:t>
      </w:r>
      <w:r w:rsidR="002F347A" w:rsidRPr="00B03CCA">
        <w:rPr>
          <w:rFonts w:ascii="Arial" w:hAnsi="Arial" w:cs="Arial"/>
          <w:sz w:val="20"/>
          <w:szCs w:val="20"/>
        </w:rPr>
        <w:t xml:space="preserve"> of 3E14 ions/cm</w:t>
      </w:r>
      <w:r w:rsidR="002F347A" w:rsidRPr="00B03CCA">
        <w:rPr>
          <w:rFonts w:ascii="Arial" w:hAnsi="Arial" w:cs="Arial"/>
          <w:sz w:val="20"/>
          <w:szCs w:val="20"/>
          <w:vertAlign w:val="superscript"/>
        </w:rPr>
        <w:t>2</w:t>
      </w:r>
      <w:r w:rsidR="002F347A">
        <w:rPr>
          <w:rFonts w:ascii="Arial" w:hAnsi="Arial" w:cs="Arial"/>
          <w:sz w:val="20"/>
          <w:szCs w:val="20"/>
        </w:rPr>
        <w:t>)</w:t>
      </w:r>
      <w:r w:rsidR="00A82A70">
        <w:rPr>
          <w:rFonts w:ascii="Arial" w:hAnsi="Arial" w:cs="Arial"/>
          <w:sz w:val="20"/>
          <w:szCs w:val="20"/>
        </w:rPr>
        <w:t>.</w:t>
      </w:r>
      <w:r w:rsidR="002F347A">
        <w:rPr>
          <w:rFonts w:ascii="Arial" w:hAnsi="Arial" w:cs="Arial"/>
          <w:sz w:val="20"/>
          <w:szCs w:val="20"/>
        </w:rPr>
        <w:t xml:space="preserve"> </w:t>
      </w:r>
      <w:r w:rsidRPr="00F5422D">
        <w:rPr>
          <w:rFonts w:ascii="Arial" w:hAnsi="Arial" w:cs="Arial"/>
          <w:sz w:val="20"/>
          <w:szCs w:val="20"/>
        </w:rPr>
        <w:t xml:space="preserve">The </w:t>
      </w:r>
      <w:r w:rsidRPr="00F5422D">
        <w:rPr>
          <w:rFonts w:ascii="Arial" w:hAnsi="Arial" w:cs="Arial"/>
          <w:sz w:val="20"/>
          <w:szCs w:val="20"/>
          <w:vertAlign w:val="superscript"/>
        </w:rPr>
        <w:t>6</w:t>
      </w:r>
      <w:r w:rsidRPr="00F5422D">
        <w:rPr>
          <w:rFonts w:ascii="Arial" w:hAnsi="Arial" w:cs="Arial"/>
          <w:sz w:val="20"/>
          <w:szCs w:val="20"/>
        </w:rPr>
        <w:t>Li implant was designed to overlay the solar wind layer at a depth of 50–200 nm below the exposed surface.</w:t>
      </w:r>
    </w:p>
    <w:p w14:paraId="006CEA36" w14:textId="77777777" w:rsidR="00B45D50" w:rsidRDefault="002524EE" w:rsidP="00FB4399">
      <w:pPr>
        <w:tabs>
          <w:tab w:val="left" w:pos="360"/>
        </w:tabs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6D61D99A" w14:textId="187B6684" w:rsidR="00A42262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347A">
        <w:rPr>
          <w:rFonts w:ascii="Arial" w:hAnsi="Arial" w:cs="Arial"/>
          <w:sz w:val="20"/>
          <w:szCs w:val="20"/>
        </w:rPr>
        <w:t>Three</w:t>
      </w:r>
      <w:r w:rsidR="00B03CCA">
        <w:rPr>
          <w:rFonts w:ascii="Arial" w:hAnsi="Arial" w:cs="Arial"/>
          <w:sz w:val="20"/>
          <w:szCs w:val="20"/>
        </w:rPr>
        <w:t xml:space="preserve"> </w:t>
      </w:r>
      <w:r w:rsidR="002F347A" w:rsidRPr="002F347A">
        <w:rPr>
          <w:rFonts w:ascii="Arial" w:hAnsi="Arial" w:cs="Arial"/>
          <w:sz w:val="20"/>
          <w:szCs w:val="20"/>
          <w:vertAlign w:val="superscript"/>
        </w:rPr>
        <w:t>6</w:t>
      </w:r>
      <w:r w:rsidR="002F347A">
        <w:rPr>
          <w:rFonts w:ascii="Arial" w:hAnsi="Arial" w:cs="Arial"/>
          <w:sz w:val="20"/>
          <w:szCs w:val="20"/>
        </w:rPr>
        <w:t>Li implanted</w:t>
      </w:r>
      <w:r w:rsidR="00B03CCA">
        <w:rPr>
          <w:rFonts w:ascii="Arial" w:hAnsi="Arial" w:cs="Arial"/>
          <w:sz w:val="20"/>
          <w:szCs w:val="20"/>
        </w:rPr>
        <w:t xml:space="preserve"> samples were subjected to acid cleaning</w:t>
      </w:r>
      <w:r w:rsidR="002F347A">
        <w:rPr>
          <w:rFonts w:ascii="Arial" w:hAnsi="Arial" w:cs="Arial"/>
          <w:sz w:val="20"/>
          <w:szCs w:val="20"/>
        </w:rPr>
        <w:t xml:space="preserve"> in order to remove the UTTR </w:t>
      </w:r>
      <w:r w:rsidR="00D74F75">
        <w:rPr>
          <w:rFonts w:ascii="Arial" w:hAnsi="Arial" w:cs="Arial"/>
          <w:sz w:val="20"/>
          <w:szCs w:val="20"/>
        </w:rPr>
        <w:t>debris</w:t>
      </w:r>
      <w:r w:rsidR="002F347A">
        <w:rPr>
          <w:rFonts w:ascii="Arial" w:hAnsi="Arial" w:cs="Arial"/>
          <w:sz w:val="20"/>
          <w:szCs w:val="20"/>
        </w:rPr>
        <w:t>.</w:t>
      </w:r>
      <w:r w:rsidR="00B03CCA">
        <w:rPr>
          <w:rFonts w:ascii="Arial" w:hAnsi="Arial" w:cs="Arial"/>
          <w:sz w:val="20"/>
          <w:szCs w:val="20"/>
        </w:rPr>
        <w:t xml:space="preserve"> 60491 and 60500 were cleaned with aqua </w:t>
      </w:r>
      <w:proofErr w:type="spellStart"/>
      <w:r w:rsidR="00B03CCA">
        <w:rPr>
          <w:rFonts w:ascii="Arial" w:hAnsi="Arial" w:cs="Arial"/>
          <w:sz w:val="20"/>
          <w:szCs w:val="20"/>
        </w:rPr>
        <w:t>regia</w:t>
      </w:r>
      <w:proofErr w:type="spellEnd"/>
      <w:r w:rsidR="00B03CCA">
        <w:rPr>
          <w:rFonts w:ascii="Arial" w:hAnsi="Arial" w:cs="Arial"/>
          <w:sz w:val="20"/>
          <w:szCs w:val="20"/>
        </w:rPr>
        <w:t xml:space="preserve"> [</w:t>
      </w:r>
      <w:r w:rsidR="00A82A70">
        <w:rPr>
          <w:rFonts w:ascii="Arial" w:hAnsi="Arial" w:cs="Arial"/>
          <w:sz w:val="20"/>
          <w:szCs w:val="20"/>
        </w:rPr>
        <w:t>2</w:t>
      </w:r>
      <w:r w:rsidR="00B03CCA">
        <w:rPr>
          <w:rFonts w:ascii="Arial" w:hAnsi="Arial" w:cs="Arial"/>
          <w:sz w:val="20"/>
          <w:szCs w:val="20"/>
        </w:rPr>
        <w:t>] while 60493 was</w:t>
      </w:r>
      <w:r w:rsidR="002F347A">
        <w:rPr>
          <w:rFonts w:ascii="Arial" w:hAnsi="Arial" w:cs="Arial"/>
          <w:sz w:val="20"/>
          <w:szCs w:val="20"/>
        </w:rPr>
        <w:t xml:space="preserve"> cleaned</w:t>
      </w:r>
      <w:r w:rsidR="00B03CCA">
        <w:rPr>
          <w:rFonts w:ascii="Arial" w:hAnsi="Arial" w:cs="Arial"/>
          <w:sz w:val="20"/>
          <w:szCs w:val="20"/>
        </w:rPr>
        <w:t xml:space="preserve"> with boiling sulfuric acid [</w:t>
      </w:r>
      <w:r w:rsidR="00A82A70">
        <w:rPr>
          <w:rFonts w:ascii="Arial" w:hAnsi="Arial" w:cs="Arial"/>
          <w:sz w:val="20"/>
          <w:szCs w:val="20"/>
        </w:rPr>
        <w:t>2</w:t>
      </w:r>
      <w:r w:rsidR="00B03CCA">
        <w:rPr>
          <w:rFonts w:ascii="Arial" w:hAnsi="Arial" w:cs="Arial"/>
          <w:sz w:val="20"/>
          <w:szCs w:val="20"/>
        </w:rPr>
        <w:t>]</w:t>
      </w:r>
      <w:r w:rsidR="00152626">
        <w:rPr>
          <w:rFonts w:ascii="Arial" w:hAnsi="Arial" w:cs="Arial"/>
          <w:sz w:val="20"/>
          <w:szCs w:val="20"/>
        </w:rPr>
        <w:t xml:space="preserve">. All samples were imaged using </w:t>
      </w:r>
      <w:proofErr w:type="spellStart"/>
      <w:r w:rsidR="00152626">
        <w:rPr>
          <w:rFonts w:ascii="Arial" w:hAnsi="Arial" w:cs="Arial"/>
          <w:sz w:val="20"/>
          <w:szCs w:val="20"/>
        </w:rPr>
        <w:t>ToF</w:t>
      </w:r>
      <w:proofErr w:type="spellEnd"/>
      <w:r w:rsidR="00152626">
        <w:rPr>
          <w:rFonts w:ascii="Arial" w:hAnsi="Arial" w:cs="Arial"/>
          <w:sz w:val="20"/>
          <w:szCs w:val="20"/>
        </w:rPr>
        <w:t>-SIMS [</w:t>
      </w:r>
      <w:r w:rsidR="00A82A70">
        <w:rPr>
          <w:rFonts w:ascii="Arial" w:hAnsi="Arial" w:cs="Arial"/>
          <w:sz w:val="20"/>
          <w:szCs w:val="20"/>
        </w:rPr>
        <w:t>2</w:t>
      </w:r>
      <w:r w:rsidR="00152626">
        <w:rPr>
          <w:rFonts w:ascii="Arial" w:hAnsi="Arial" w:cs="Arial"/>
          <w:sz w:val="20"/>
          <w:szCs w:val="20"/>
        </w:rPr>
        <w:t>] before and after the cleaning and showed no residual contamination. In addition a non-flight control sample</w:t>
      </w:r>
      <w:r w:rsidR="002F347A">
        <w:rPr>
          <w:rFonts w:ascii="Arial" w:hAnsi="Arial" w:cs="Arial"/>
          <w:sz w:val="20"/>
          <w:szCs w:val="20"/>
        </w:rPr>
        <w:t xml:space="preserve"> (A-5)</w:t>
      </w:r>
      <w:r w:rsidR="00152626">
        <w:rPr>
          <w:rFonts w:ascii="Arial" w:hAnsi="Arial" w:cs="Arial"/>
          <w:sz w:val="20"/>
          <w:szCs w:val="20"/>
        </w:rPr>
        <w:t xml:space="preserve"> was processed to confirm the </w:t>
      </w:r>
      <w:r w:rsidR="00152626" w:rsidRPr="00152626">
        <w:rPr>
          <w:rFonts w:ascii="Arial" w:hAnsi="Arial" w:cs="Arial"/>
          <w:sz w:val="20"/>
          <w:szCs w:val="20"/>
          <w:vertAlign w:val="superscript"/>
        </w:rPr>
        <w:t>6</w:t>
      </w:r>
      <w:r w:rsidR="00152626">
        <w:rPr>
          <w:rFonts w:ascii="Arial" w:hAnsi="Arial" w:cs="Arial"/>
          <w:sz w:val="20"/>
          <w:szCs w:val="20"/>
        </w:rPr>
        <w:t>Li yield of the implant.</w:t>
      </w:r>
      <w:r w:rsidR="00A82A70">
        <w:rPr>
          <w:rFonts w:ascii="Arial" w:hAnsi="Arial" w:cs="Arial"/>
          <w:sz w:val="20"/>
          <w:szCs w:val="20"/>
        </w:rPr>
        <w:t xml:space="preserve"> </w:t>
      </w:r>
      <w:r w:rsidR="00152626" w:rsidRPr="00B45D50">
        <w:rPr>
          <w:rFonts w:ascii="Arial" w:hAnsi="Arial" w:cs="Arial"/>
          <w:sz w:val="20"/>
          <w:szCs w:val="20"/>
        </w:rPr>
        <w:t xml:space="preserve">The </w:t>
      </w:r>
      <w:r w:rsidR="00152626" w:rsidRPr="00A42262">
        <w:rPr>
          <w:rFonts w:ascii="Arial" w:hAnsi="Arial" w:cs="Arial"/>
          <w:sz w:val="20"/>
          <w:szCs w:val="20"/>
          <w:vertAlign w:val="superscript"/>
        </w:rPr>
        <w:t>6</w:t>
      </w:r>
      <w:r w:rsidR="00152626">
        <w:rPr>
          <w:rFonts w:ascii="Arial" w:hAnsi="Arial" w:cs="Arial"/>
          <w:sz w:val="20"/>
          <w:szCs w:val="20"/>
        </w:rPr>
        <w:t>Li was extracted from the silicon wafer by placing the implanted surface on a 100</w:t>
      </w:r>
      <w:r w:rsidR="00A42262">
        <w:rPr>
          <w:rFonts w:ascii="Arial" w:hAnsi="Arial" w:cs="Arial"/>
          <w:sz w:val="20"/>
          <w:szCs w:val="20"/>
        </w:rPr>
        <w:t xml:space="preserve"> </w:t>
      </w:r>
      <w:r w:rsidR="00152626">
        <w:rPr>
          <w:rFonts w:ascii="Arial" w:hAnsi="Arial" w:cs="Arial"/>
          <w:sz w:val="20"/>
          <w:szCs w:val="20"/>
        </w:rPr>
        <w:t xml:space="preserve">µL drop of a 1% </w:t>
      </w:r>
      <w:r w:rsidR="00A82A70">
        <w:rPr>
          <w:rFonts w:ascii="Arial" w:hAnsi="Arial" w:cs="Arial"/>
          <w:sz w:val="20"/>
          <w:szCs w:val="20"/>
        </w:rPr>
        <w:t>HF-HNO</w:t>
      </w:r>
      <w:r w:rsidR="00A82A70" w:rsidRPr="00A82A70">
        <w:rPr>
          <w:rFonts w:ascii="Arial" w:hAnsi="Arial" w:cs="Arial"/>
          <w:sz w:val="20"/>
          <w:szCs w:val="20"/>
          <w:vertAlign w:val="subscript"/>
        </w:rPr>
        <w:t>3</w:t>
      </w:r>
      <w:r w:rsidR="00515685">
        <w:rPr>
          <w:rFonts w:ascii="Arial" w:hAnsi="Arial" w:cs="Arial"/>
          <w:sz w:val="20"/>
          <w:szCs w:val="20"/>
        </w:rPr>
        <w:t>.</w:t>
      </w:r>
      <w:r w:rsidR="00A42262">
        <w:rPr>
          <w:rFonts w:ascii="Arial" w:hAnsi="Arial" w:cs="Arial"/>
          <w:sz w:val="20"/>
          <w:szCs w:val="20"/>
        </w:rPr>
        <w:t xml:space="preserve"> This sets the partial dissolution to ~300 nm for 1 cm</w:t>
      </w:r>
      <w:r w:rsidR="00A42262" w:rsidRPr="00A42262">
        <w:rPr>
          <w:rFonts w:ascii="Arial" w:hAnsi="Arial" w:cs="Arial"/>
          <w:sz w:val="20"/>
          <w:szCs w:val="20"/>
          <w:vertAlign w:val="superscript"/>
        </w:rPr>
        <w:t>2</w:t>
      </w:r>
      <w:r w:rsidR="00A42262">
        <w:rPr>
          <w:rFonts w:ascii="Arial" w:hAnsi="Arial" w:cs="Arial"/>
          <w:sz w:val="20"/>
          <w:szCs w:val="20"/>
        </w:rPr>
        <w:t xml:space="preserve"> of Si wafer surface.</w:t>
      </w:r>
      <w:r w:rsidR="00515685">
        <w:rPr>
          <w:rFonts w:ascii="Arial" w:hAnsi="Arial" w:cs="Arial"/>
          <w:sz w:val="20"/>
          <w:szCs w:val="20"/>
        </w:rPr>
        <w:t xml:space="preserve"> After 5 minutes the reaction was stopped by adding 900</w:t>
      </w:r>
      <w:r w:rsidR="00A82A70">
        <w:rPr>
          <w:rFonts w:ascii="Arial" w:hAnsi="Arial" w:cs="Arial"/>
          <w:sz w:val="20"/>
          <w:szCs w:val="20"/>
        </w:rPr>
        <w:t xml:space="preserve"> </w:t>
      </w:r>
      <w:r w:rsidR="00515685">
        <w:rPr>
          <w:rFonts w:ascii="Arial" w:hAnsi="Arial" w:cs="Arial"/>
          <w:sz w:val="20"/>
          <w:szCs w:val="20"/>
        </w:rPr>
        <w:t>µL of water</w:t>
      </w:r>
      <w:r w:rsidR="00A82A70">
        <w:rPr>
          <w:rFonts w:ascii="Arial" w:hAnsi="Arial" w:cs="Arial"/>
          <w:sz w:val="20"/>
          <w:szCs w:val="20"/>
        </w:rPr>
        <w:t>.</w:t>
      </w:r>
      <w:r w:rsidR="00A42262">
        <w:rPr>
          <w:rFonts w:ascii="Arial" w:hAnsi="Arial" w:cs="Arial"/>
          <w:sz w:val="20"/>
          <w:szCs w:val="20"/>
        </w:rPr>
        <w:t xml:space="preserve"> </w:t>
      </w:r>
      <w:r w:rsidR="00A82A70">
        <w:rPr>
          <w:rFonts w:ascii="Arial" w:hAnsi="Arial" w:cs="Arial"/>
          <w:sz w:val="20"/>
          <w:szCs w:val="20"/>
        </w:rPr>
        <w:t>T</w:t>
      </w:r>
      <w:r w:rsidR="00A42262">
        <w:rPr>
          <w:rFonts w:ascii="Arial" w:hAnsi="Arial" w:cs="Arial"/>
          <w:sz w:val="20"/>
          <w:szCs w:val="20"/>
        </w:rPr>
        <w:t xml:space="preserve">he solution </w:t>
      </w:r>
      <w:r w:rsidR="00A82A70">
        <w:rPr>
          <w:rFonts w:ascii="Arial" w:hAnsi="Arial" w:cs="Arial"/>
          <w:sz w:val="20"/>
          <w:szCs w:val="20"/>
        </w:rPr>
        <w:t xml:space="preserve">was </w:t>
      </w:r>
      <w:r w:rsidR="00A42262">
        <w:rPr>
          <w:rFonts w:ascii="Arial" w:hAnsi="Arial" w:cs="Arial"/>
          <w:sz w:val="20"/>
          <w:szCs w:val="20"/>
        </w:rPr>
        <w:t xml:space="preserve">split in aliquots for isotope composition (IC) and isotope dilution (ID) measurements. </w:t>
      </w:r>
      <w:r w:rsidR="00A42262" w:rsidRPr="00A42262">
        <w:rPr>
          <w:rFonts w:ascii="Arial" w:hAnsi="Arial" w:cs="Arial"/>
          <w:sz w:val="20"/>
          <w:szCs w:val="20"/>
        </w:rPr>
        <w:t xml:space="preserve">Each Si wafer was subjected to two dissolution steps to ensure that there was no </w:t>
      </w:r>
      <w:r w:rsidR="00A42262" w:rsidRPr="00A42262">
        <w:rPr>
          <w:rFonts w:ascii="Arial" w:hAnsi="Arial" w:cs="Arial"/>
          <w:sz w:val="20"/>
          <w:szCs w:val="20"/>
          <w:vertAlign w:val="superscript"/>
        </w:rPr>
        <w:t>6</w:t>
      </w:r>
      <w:r w:rsidR="00A42262" w:rsidRPr="00A42262">
        <w:rPr>
          <w:rFonts w:ascii="Arial" w:hAnsi="Arial" w:cs="Arial"/>
          <w:sz w:val="20"/>
          <w:szCs w:val="20"/>
        </w:rPr>
        <w:t>Li remaining in the Si wafer.</w:t>
      </w:r>
      <w:r w:rsidR="00A82A70">
        <w:rPr>
          <w:rFonts w:ascii="Arial" w:hAnsi="Arial" w:cs="Arial"/>
          <w:sz w:val="20"/>
          <w:szCs w:val="20"/>
        </w:rPr>
        <w:t xml:space="preserve"> </w:t>
      </w:r>
      <w:r w:rsidR="00A42262" w:rsidRPr="00A42262">
        <w:rPr>
          <w:rFonts w:ascii="Arial" w:hAnsi="Arial" w:cs="Arial"/>
          <w:sz w:val="20"/>
          <w:szCs w:val="20"/>
        </w:rPr>
        <w:t>The measurements were performed on an Element XR</w:t>
      </w:r>
      <w:r w:rsidR="00A42262" w:rsidRPr="00A42262">
        <w:rPr>
          <w:rFonts w:ascii="Arial" w:hAnsi="Arial" w:cs="Arial"/>
          <w:sz w:val="20"/>
          <w:szCs w:val="20"/>
          <w:vertAlign w:val="superscript"/>
        </w:rPr>
        <w:t>TM</w:t>
      </w:r>
      <w:r w:rsidR="00A42262" w:rsidRPr="00A42262">
        <w:rPr>
          <w:rFonts w:ascii="Arial" w:hAnsi="Arial" w:cs="Arial"/>
          <w:sz w:val="20"/>
          <w:szCs w:val="20"/>
        </w:rPr>
        <w:t xml:space="preserve"> using Thermo Super Jet 8.2 Ni sampler and </w:t>
      </w:r>
      <w:proofErr w:type="spellStart"/>
      <w:r w:rsidR="00A42262" w:rsidRPr="00A42262">
        <w:rPr>
          <w:rFonts w:ascii="Arial" w:hAnsi="Arial" w:cs="Arial"/>
          <w:sz w:val="20"/>
          <w:szCs w:val="20"/>
        </w:rPr>
        <w:t>Spectron</w:t>
      </w:r>
      <w:proofErr w:type="spellEnd"/>
      <w:r w:rsidR="00A42262" w:rsidRPr="00A42262">
        <w:rPr>
          <w:rFonts w:ascii="Arial" w:hAnsi="Arial" w:cs="Arial"/>
          <w:sz w:val="20"/>
          <w:szCs w:val="20"/>
        </w:rPr>
        <w:t xml:space="preserve"> T1001 Ni-X skimmer cones with a sensitivity of 60 </w:t>
      </w:r>
      <w:proofErr w:type="spellStart"/>
      <w:r w:rsidR="00A42262" w:rsidRPr="00A42262">
        <w:rPr>
          <w:rFonts w:ascii="Arial" w:hAnsi="Arial" w:cs="Arial"/>
          <w:sz w:val="20"/>
          <w:szCs w:val="20"/>
        </w:rPr>
        <w:t>Mcps</w:t>
      </w:r>
      <w:proofErr w:type="spellEnd"/>
      <w:r w:rsidR="00A42262" w:rsidRPr="00A42262">
        <w:rPr>
          <w:rFonts w:ascii="Arial" w:hAnsi="Arial" w:cs="Arial"/>
          <w:sz w:val="20"/>
          <w:szCs w:val="20"/>
        </w:rPr>
        <w:t xml:space="preserve">/ppb of </w:t>
      </w:r>
      <w:r w:rsidR="00A42262" w:rsidRPr="00A42262">
        <w:rPr>
          <w:rFonts w:ascii="Arial" w:hAnsi="Arial" w:cs="Arial"/>
          <w:sz w:val="20"/>
          <w:szCs w:val="20"/>
          <w:vertAlign w:val="superscript"/>
        </w:rPr>
        <w:t>115</w:t>
      </w:r>
      <w:r w:rsidR="00A42262" w:rsidRPr="00A42262">
        <w:rPr>
          <w:rFonts w:ascii="Arial" w:hAnsi="Arial" w:cs="Arial"/>
          <w:sz w:val="20"/>
          <w:szCs w:val="20"/>
        </w:rPr>
        <w:t xml:space="preserve">In. Sample introduction was performed with an ESI </w:t>
      </w:r>
      <w:proofErr w:type="spellStart"/>
      <w:r w:rsidR="00A42262" w:rsidRPr="00A42262">
        <w:rPr>
          <w:rFonts w:ascii="Arial" w:hAnsi="Arial" w:cs="Arial"/>
          <w:sz w:val="20"/>
          <w:szCs w:val="20"/>
        </w:rPr>
        <w:t>ApexQ</w:t>
      </w:r>
      <w:proofErr w:type="spellEnd"/>
      <w:r w:rsidR="00A42262" w:rsidRPr="00A42262">
        <w:rPr>
          <w:rFonts w:ascii="Arial" w:hAnsi="Arial" w:cs="Arial"/>
          <w:sz w:val="20"/>
          <w:szCs w:val="20"/>
        </w:rPr>
        <w:t xml:space="preserve">™ sample introduction system and a 20 µL/min </w:t>
      </w:r>
      <w:proofErr w:type="spellStart"/>
      <w:r w:rsidR="00A42262" w:rsidRPr="00A42262">
        <w:rPr>
          <w:rFonts w:ascii="Arial" w:hAnsi="Arial" w:cs="Arial"/>
          <w:sz w:val="20"/>
          <w:szCs w:val="20"/>
        </w:rPr>
        <w:t>Savillex</w:t>
      </w:r>
      <w:proofErr w:type="spellEnd"/>
      <w:r w:rsidR="00A42262" w:rsidRPr="00A42262">
        <w:rPr>
          <w:rFonts w:ascii="Arial" w:hAnsi="Arial" w:cs="Arial"/>
          <w:sz w:val="20"/>
          <w:szCs w:val="20"/>
        </w:rPr>
        <w:t>™ PFA</w:t>
      </w:r>
      <w:r w:rsidR="00A42262" w:rsidRPr="00A42262" w:rsidDel="00BE25B0">
        <w:rPr>
          <w:rFonts w:ascii="Arial" w:hAnsi="Arial" w:cs="Arial"/>
          <w:sz w:val="20"/>
          <w:szCs w:val="20"/>
        </w:rPr>
        <w:t xml:space="preserve"> </w:t>
      </w:r>
      <w:r w:rsidR="00A42262" w:rsidRPr="00A42262">
        <w:rPr>
          <w:rFonts w:ascii="Arial" w:hAnsi="Arial" w:cs="Arial"/>
          <w:sz w:val="20"/>
          <w:szCs w:val="20"/>
        </w:rPr>
        <w:t xml:space="preserve">nebulizer. The detection limit of </w:t>
      </w:r>
      <w:r w:rsidR="00A42262" w:rsidRPr="00A42262">
        <w:rPr>
          <w:rFonts w:ascii="Arial" w:hAnsi="Arial" w:cs="Arial"/>
          <w:sz w:val="20"/>
          <w:szCs w:val="20"/>
          <w:vertAlign w:val="superscript"/>
        </w:rPr>
        <w:t>6</w:t>
      </w:r>
      <w:r w:rsidR="00A42262" w:rsidRPr="00A42262">
        <w:rPr>
          <w:rFonts w:ascii="Arial" w:hAnsi="Arial" w:cs="Arial"/>
          <w:sz w:val="20"/>
          <w:szCs w:val="20"/>
        </w:rPr>
        <w:t xml:space="preserve">Li </w:t>
      </w:r>
      <w:r w:rsidR="00A82A70">
        <w:rPr>
          <w:rFonts w:ascii="Arial" w:hAnsi="Arial" w:cs="Arial"/>
          <w:sz w:val="20"/>
          <w:szCs w:val="20"/>
        </w:rPr>
        <w:t xml:space="preserve">was 0.1 </w:t>
      </w:r>
      <w:proofErr w:type="spellStart"/>
      <w:r w:rsidR="00A82A70">
        <w:rPr>
          <w:rFonts w:ascii="Arial" w:hAnsi="Arial" w:cs="Arial"/>
          <w:sz w:val="20"/>
          <w:szCs w:val="20"/>
        </w:rPr>
        <w:t>ppt</w:t>
      </w:r>
      <w:proofErr w:type="spellEnd"/>
      <w:r w:rsidR="00A82A70">
        <w:rPr>
          <w:rFonts w:ascii="Arial" w:hAnsi="Arial" w:cs="Arial"/>
          <w:sz w:val="20"/>
          <w:szCs w:val="20"/>
        </w:rPr>
        <w:t xml:space="preserve"> or 0.00006E14 atoms/</w:t>
      </w:r>
      <w:r w:rsidR="00A82A70" w:rsidRPr="00A42262">
        <w:rPr>
          <w:rFonts w:ascii="Arial" w:hAnsi="Arial" w:cs="Arial"/>
          <w:sz w:val="20"/>
          <w:szCs w:val="20"/>
        </w:rPr>
        <w:t>cm</w:t>
      </w:r>
      <w:r w:rsidR="00A82A70" w:rsidRPr="00A42262">
        <w:rPr>
          <w:rFonts w:ascii="Arial" w:hAnsi="Arial" w:cs="Arial"/>
          <w:sz w:val="20"/>
          <w:szCs w:val="20"/>
          <w:vertAlign w:val="superscript"/>
        </w:rPr>
        <w:t>2</w:t>
      </w:r>
      <w:r w:rsidR="00A82A70" w:rsidRPr="00A42262">
        <w:rPr>
          <w:rFonts w:ascii="Arial" w:hAnsi="Arial" w:cs="Arial"/>
          <w:sz w:val="20"/>
          <w:szCs w:val="20"/>
        </w:rPr>
        <w:t xml:space="preserve"> </w:t>
      </w:r>
      <w:r w:rsidR="00A42262" w:rsidRPr="00A42262">
        <w:rPr>
          <w:rFonts w:ascii="Arial" w:hAnsi="Arial" w:cs="Arial"/>
          <w:sz w:val="20"/>
          <w:szCs w:val="20"/>
          <w:vertAlign w:val="superscript"/>
        </w:rPr>
        <w:t>6</w:t>
      </w:r>
      <w:r w:rsidR="00A42262" w:rsidRPr="00A42262">
        <w:rPr>
          <w:rFonts w:ascii="Arial" w:hAnsi="Arial" w:cs="Arial"/>
          <w:sz w:val="20"/>
          <w:szCs w:val="20"/>
        </w:rPr>
        <w:t>Li.</w:t>
      </w:r>
    </w:p>
    <w:p w14:paraId="58E06C12" w14:textId="77777777" w:rsidR="00E25473" w:rsidRPr="006B3824" w:rsidRDefault="00A4226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Results and </w:t>
      </w:r>
      <w:r w:rsidR="00E25473" w:rsidRPr="006B3824">
        <w:rPr>
          <w:rFonts w:ascii="Arial" w:hAnsi="Arial" w:cs="Arial"/>
          <w:b/>
          <w:sz w:val="20"/>
          <w:szCs w:val="20"/>
        </w:rPr>
        <w:t>Conclusions</w:t>
      </w:r>
    </w:p>
    <w:p w14:paraId="349EDAE3" w14:textId="51189079" w:rsidR="00E25473" w:rsidRDefault="000D7A4E" w:rsidP="000D7A4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752" behindDoc="1" locked="0" layoutInCell="1" allowOverlap="1" wp14:anchorId="3D9FED56" wp14:editId="366B467A">
            <wp:simplePos x="0" y="0"/>
            <wp:positionH relativeFrom="column">
              <wp:posOffset>3492500</wp:posOffset>
            </wp:positionH>
            <wp:positionV relativeFrom="page">
              <wp:posOffset>6174105</wp:posOffset>
            </wp:positionV>
            <wp:extent cx="2915285" cy="2125980"/>
            <wp:effectExtent l="0" t="0" r="5715" b="7620"/>
            <wp:wrapSquare wrapText="bothSides"/>
            <wp:docPr id="6" name="Picture 6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A82A70">
        <w:rPr>
          <w:rFonts w:ascii="Arial" w:hAnsi="Arial" w:cs="Arial"/>
          <w:sz w:val="20"/>
          <w:szCs w:val="20"/>
        </w:rPr>
        <w:t>As hoped for, t</w:t>
      </w:r>
      <w:r w:rsidR="00B45D50" w:rsidRPr="00B45D50">
        <w:rPr>
          <w:rFonts w:ascii="Arial" w:hAnsi="Arial" w:cs="Arial"/>
          <w:sz w:val="20"/>
          <w:szCs w:val="20"/>
        </w:rPr>
        <w:t xml:space="preserve">he aqua </w:t>
      </w:r>
      <w:proofErr w:type="spellStart"/>
      <w:r w:rsidR="00B45D50" w:rsidRPr="00B45D50">
        <w:rPr>
          <w:rFonts w:ascii="Arial" w:hAnsi="Arial" w:cs="Arial"/>
          <w:sz w:val="20"/>
          <w:szCs w:val="20"/>
        </w:rPr>
        <w:t>regia</w:t>
      </w:r>
      <w:proofErr w:type="spellEnd"/>
      <w:r w:rsidR="00B45D50" w:rsidRPr="00B45D50">
        <w:rPr>
          <w:rFonts w:ascii="Arial" w:hAnsi="Arial" w:cs="Arial"/>
          <w:sz w:val="20"/>
          <w:szCs w:val="20"/>
        </w:rPr>
        <w:t xml:space="preserve"> cleaning technique was </w:t>
      </w:r>
      <w:r w:rsidR="00A82A70" w:rsidRPr="00B45D50">
        <w:rPr>
          <w:rFonts w:ascii="Arial" w:hAnsi="Arial" w:cs="Arial"/>
          <w:sz w:val="20"/>
          <w:szCs w:val="20"/>
        </w:rPr>
        <w:t xml:space="preserve">not </w:t>
      </w:r>
      <w:r w:rsidR="00B45D50" w:rsidRPr="00B45D50">
        <w:rPr>
          <w:rFonts w:ascii="Arial" w:hAnsi="Arial" w:cs="Arial"/>
          <w:sz w:val="20"/>
          <w:szCs w:val="20"/>
        </w:rPr>
        <w:t xml:space="preserve">found to remove any significant </w:t>
      </w:r>
      <w:r w:rsidR="00B45D50" w:rsidRPr="00B45D50">
        <w:rPr>
          <w:rFonts w:ascii="Arial" w:hAnsi="Arial" w:cs="Arial"/>
          <w:sz w:val="20"/>
          <w:szCs w:val="20"/>
          <w:vertAlign w:val="superscript"/>
        </w:rPr>
        <w:t>6</w:t>
      </w:r>
      <w:r w:rsidR="00B45D50" w:rsidRPr="00B45D50">
        <w:rPr>
          <w:rFonts w:ascii="Arial" w:hAnsi="Arial" w:cs="Arial"/>
          <w:sz w:val="20"/>
          <w:szCs w:val="20"/>
        </w:rPr>
        <w:t>Li (&lt;0.1%) from the implanted wafers. The HF-HNO</w:t>
      </w:r>
      <w:r w:rsidR="00B45D50" w:rsidRPr="00B45D50">
        <w:rPr>
          <w:rFonts w:ascii="Arial" w:hAnsi="Arial" w:cs="Arial"/>
          <w:sz w:val="20"/>
          <w:szCs w:val="20"/>
          <w:vertAlign w:val="subscript"/>
        </w:rPr>
        <w:t>3</w:t>
      </w:r>
      <w:r w:rsidR="00B45D50" w:rsidRPr="00B45D50">
        <w:rPr>
          <w:rFonts w:ascii="Arial" w:hAnsi="Arial" w:cs="Arial"/>
          <w:sz w:val="20"/>
          <w:szCs w:val="20"/>
        </w:rPr>
        <w:t xml:space="preserve"> dissolution step obtained quantitative yields for </w:t>
      </w:r>
      <w:r w:rsidR="00B45D50" w:rsidRPr="00B45D50">
        <w:rPr>
          <w:rFonts w:ascii="Arial" w:hAnsi="Arial" w:cs="Arial"/>
          <w:sz w:val="20"/>
          <w:szCs w:val="20"/>
          <w:vertAlign w:val="superscript"/>
        </w:rPr>
        <w:t>6</w:t>
      </w:r>
      <w:r w:rsidR="00B45D50" w:rsidRPr="00B45D50">
        <w:rPr>
          <w:rFonts w:ascii="Arial" w:hAnsi="Arial" w:cs="Arial"/>
          <w:sz w:val="20"/>
          <w:szCs w:val="20"/>
        </w:rPr>
        <w:t>Li on each wafer. Each wafer was processed twice with HF-HNO</w:t>
      </w:r>
      <w:r w:rsidR="00B45D50" w:rsidRPr="00B45D50">
        <w:rPr>
          <w:rFonts w:ascii="Arial" w:hAnsi="Arial" w:cs="Arial"/>
          <w:sz w:val="20"/>
          <w:szCs w:val="20"/>
          <w:vertAlign w:val="subscript"/>
        </w:rPr>
        <w:t>3</w:t>
      </w:r>
      <w:r w:rsidR="00B45D50" w:rsidRPr="00B45D50">
        <w:rPr>
          <w:rFonts w:ascii="Arial" w:hAnsi="Arial" w:cs="Arial"/>
          <w:sz w:val="20"/>
          <w:szCs w:val="20"/>
        </w:rPr>
        <w:t xml:space="preserve"> dissolution. The first dissolution step removed all of the </w:t>
      </w:r>
      <w:r w:rsidR="00B45D50" w:rsidRPr="00B45D50">
        <w:rPr>
          <w:rFonts w:ascii="Arial" w:hAnsi="Arial" w:cs="Arial"/>
          <w:sz w:val="20"/>
          <w:szCs w:val="20"/>
          <w:vertAlign w:val="superscript"/>
        </w:rPr>
        <w:t>6</w:t>
      </w:r>
      <w:r w:rsidR="00B45D50" w:rsidRPr="00B45D50">
        <w:rPr>
          <w:rFonts w:ascii="Arial" w:hAnsi="Arial" w:cs="Arial"/>
          <w:sz w:val="20"/>
          <w:szCs w:val="20"/>
        </w:rPr>
        <w:t>Li as expected</w:t>
      </w:r>
      <w:r w:rsidR="00B45D50">
        <w:rPr>
          <w:rFonts w:ascii="Arial" w:hAnsi="Arial" w:cs="Arial"/>
          <w:sz w:val="20"/>
          <w:szCs w:val="20"/>
        </w:rPr>
        <w:t xml:space="preserve"> (see figure 1)</w:t>
      </w:r>
      <w:r w:rsidR="00B45D50" w:rsidRPr="00B45D50">
        <w:rPr>
          <w:rFonts w:ascii="Arial" w:hAnsi="Arial" w:cs="Arial"/>
          <w:sz w:val="20"/>
          <w:szCs w:val="20"/>
        </w:rPr>
        <w:t xml:space="preserve">, and no </w:t>
      </w:r>
      <w:r w:rsidR="00B45D50" w:rsidRPr="00B45D50">
        <w:rPr>
          <w:rFonts w:ascii="Arial" w:hAnsi="Arial" w:cs="Arial"/>
          <w:sz w:val="20"/>
          <w:szCs w:val="20"/>
          <w:vertAlign w:val="superscript"/>
        </w:rPr>
        <w:t>6</w:t>
      </w:r>
      <w:r w:rsidR="00B45D50" w:rsidRPr="00B45D50">
        <w:rPr>
          <w:rFonts w:ascii="Arial" w:hAnsi="Arial" w:cs="Arial"/>
          <w:sz w:val="20"/>
          <w:szCs w:val="20"/>
        </w:rPr>
        <w:t xml:space="preserve">Li was detected in the second dissolution step. We infer that we removed &gt;300 nm of Si during each dissolution. These results demonstrate that – with a single </w:t>
      </w:r>
      <w:r w:rsidR="00B45D50" w:rsidRPr="00B45D50">
        <w:rPr>
          <w:rFonts w:ascii="Arial" w:hAnsi="Arial" w:cs="Arial"/>
          <w:sz w:val="20"/>
          <w:szCs w:val="20"/>
          <w:vertAlign w:val="superscript"/>
        </w:rPr>
        <w:t>6</w:t>
      </w:r>
      <w:r w:rsidR="00B45D50" w:rsidRPr="00B45D50">
        <w:rPr>
          <w:rFonts w:ascii="Arial" w:hAnsi="Arial" w:cs="Arial"/>
          <w:sz w:val="20"/>
          <w:szCs w:val="20"/>
        </w:rPr>
        <w:t xml:space="preserve">Li implant at 15 </w:t>
      </w:r>
      <w:proofErr w:type="spellStart"/>
      <w:r w:rsidR="00B45D50" w:rsidRPr="00B45D50">
        <w:rPr>
          <w:rFonts w:ascii="Arial" w:hAnsi="Arial" w:cs="Arial"/>
          <w:sz w:val="20"/>
          <w:szCs w:val="20"/>
        </w:rPr>
        <w:t>keV</w:t>
      </w:r>
      <w:proofErr w:type="spellEnd"/>
      <w:r w:rsidR="00B45D50" w:rsidRPr="00B45D50">
        <w:rPr>
          <w:rFonts w:ascii="Arial" w:hAnsi="Arial" w:cs="Arial"/>
          <w:sz w:val="20"/>
          <w:szCs w:val="20"/>
        </w:rPr>
        <w:t xml:space="preserve"> – Genesis Si collectors can be suitably used for Mg isotope analyses of the solar wind by ICP-MS analysis.</w:t>
      </w:r>
    </w:p>
    <w:p w14:paraId="2BBEA908" w14:textId="19BB2D01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4C674F94" w14:textId="3581AD8E" w:rsidR="00491C5D" w:rsidRDefault="000D7A4E" w:rsidP="000D7A4E">
      <w:pPr>
        <w:tabs>
          <w:tab w:val="left" w:pos="360"/>
        </w:tabs>
        <w:ind w:right="9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C71F1" wp14:editId="4AEBF9FA">
                <wp:simplePos x="0" y="0"/>
                <wp:positionH relativeFrom="column">
                  <wp:posOffset>3492500</wp:posOffset>
                </wp:positionH>
                <wp:positionV relativeFrom="page">
                  <wp:posOffset>8333105</wp:posOffset>
                </wp:positionV>
                <wp:extent cx="2850515" cy="91313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DF4E1A" w14:textId="77777777" w:rsidR="00376D2C" w:rsidRPr="00376D2C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D2E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cumulative </w:t>
                            </w:r>
                            <w:r w:rsidR="003C5D2E" w:rsidRPr="002F347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  <w:r w:rsidR="003C5D2E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 with depth from the surface </w:t>
                            </w:r>
                            <w:r w:rsidR="000C62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 w:rsidR="003C5D2E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plotted as a black dashed line. </w:t>
                            </w:r>
                            <w:r w:rsidR="002F347A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gray </w:t>
                            </w:r>
                            <w:proofErr w:type="gramStart"/>
                            <w:r w:rsidR="002F347A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area represent</w:t>
                            </w:r>
                            <w:proofErr w:type="gramEnd"/>
                            <w:r w:rsidR="002F347A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10% error on the cumulative </w:t>
                            </w:r>
                            <w:r w:rsidR="002F347A" w:rsidRPr="002F347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  <w:r w:rsidR="002F347A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Li. </w:t>
                            </w:r>
                            <w:r w:rsidR="003C5D2E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SIMS </w:t>
                            </w:r>
                            <w:r w:rsidR="003C5D2E" w:rsidRPr="002F347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  <w:r w:rsidR="003C5D2E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 profile is shown as a solid black line. Sample and control measurements are rep</w:t>
                            </w:r>
                            <w:bookmarkStart w:id="0" w:name="_GoBack"/>
                            <w:bookmarkEnd w:id="0"/>
                            <w:r w:rsidR="003C5D2E" w:rsidRPr="003C5D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resented by colored symbols. Note that the red square represents both the control A-5 and 60491.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656.15pt;width:224.45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" stroked="f">
                <v:textbox inset="0,0,0,0">
                  <w:txbxContent>
                    <w:p w14:paraId="52DF4E1A" w14:textId="77777777" w:rsidR="00376D2C" w:rsidRPr="00376D2C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C5D2E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cumulative </w:t>
                      </w:r>
                      <w:r w:rsidR="003C5D2E" w:rsidRPr="002F347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6</w:t>
                      </w:r>
                      <w:r w:rsidR="003C5D2E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 with depth from the surface </w:t>
                      </w:r>
                      <w:r w:rsidR="000C6251"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r w:rsidR="003C5D2E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plotted as a black dashed line. </w:t>
                      </w:r>
                      <w:r w:rsidR="002F347A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gray </w:t>
                      </w:r>
                      <w:proofErr w:type="gramStart"/>
                      <w:r w:rsidR="002F347A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>area represent</w:t>
                      </w:r>
                      <w:proofErr w:type="gramEnd"/>
                      <w:r w:rsidR="002F347A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10% error on the cumulative </w:t>
                      </w:r>
                      <w:r w:rsidR="002F347A" w:rsidRPr="002F347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6</w:t>
                      </w:r>
                      <w:r w:rsidR="002F347A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Li. </w:t>
                      </w:r>
                      <w:r w:rsidR="003C5D2E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SIMS </w:t>
                      </w:r>
                      <w:r w:rsidR="003C5D2E" w:rsidRPr="002F347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6</w:t>
                      </w:r>
                      <w:r w:rsidR="003C5D2E" w:rsidRPr="003C5D2E">
                        <w:rPr>
                          <w:rFonts w:ascii="Arial" w:hAnsi="Arial" w:cs="Arial"/>
                          <w:sz w:val="18"/>
                          <w:szCs w:val="18"/>
                        </w:rPr>
                        <w:t>Li profile is shown as a solid black line. Sample and control measurements are represented by colored symbols. Note that the red square represents both the control A-5 and 60491.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e of </w:t>
      </w:r>
      <w:proofErr w:type="spellStart"/>
      <w:r>
        <w:rPr>
          <w:rFonts w:ascii="Arial" w:eastAsia="Times New Roman" w:hAnsi="Arial" w:cs="Arial"/>
          <w:sz w:val="20"/>
          <w:szCs w:val="20"/>
          <w:lang w:eastAsia="en-US"/>
        </w:rPr>
        <w:t>Florida.</w:t>
      </w:r>
      <w:r w:rsidR="002F347A">
        <w:rPr>
          <w:rFonts w:ascii="Arial" w:eastAsia="Times New Roman" w:hAnsi="Arial" w:cs="Arial"/>
          <w:sz w:val="20"/>
          <w:szCs w:val="20"/>
          <w:lang w:eastAsia="en-US"/>
        </w:rPr>
        <w:t>This</w:t>
      </w:r>
      <w:proofErr w:type="spellEnd"/>
      <w:r w:rsidR="002F347A">
        <w:rPr>
          <w:rFonts w:ascii="Arial" w:eastAsia="Times New Roman" w:hAnsi="Arial" w:cs="Arial"/>
          <w:sz w:val="20"/>
          <w:szCs w:val="20"/>
          <w:lang w:eastAsia="en-US"/>
        </w:rPr>
        <w:t xml:space="preserve"> work was</w:t>
      </w:r>
      <w:r w:rsidR="002F347A" w:rsidRPr="00B45D50">
        <w:rPr>
          <w:rFonts w:ascii="Arial" w:eastAsia="Times New Roman" w:hAnsi="Arial" w:cs="Arial"/>
          <w:sz w:val="20"/>
          <w:szCs w:val="20"/>
          <w:lang w:eastAsia="en-US"/>
        </w:rPr>
        <w:t xml:space="preserve"> funded by NASA Laboratory Analysis of Returned Samples</w:t>
      </w:r>
      <w:r w:rsidR="005D47C3">
        <w:rPr>
          <w:rFonts w:ascii="Arial" w:eastAsia="Times New Roman" w:hAnsi="Arial" w:cs="Arial"/>
          <w:sz w:val="20"/>
          <w:szCs w:val="20"/>
          <w:lang w:eastAsia="en-US"/>
        </w:rPr>
        <w:t xml:space="preserve"> (LARS)</w:t>
      </w:r>
      <w:r w:rsidR="002F347A" w:rsidRPr="00B45D50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82A70">
        <w:rPr>
          <w:rFonts w:ascii="Arial" w:eastAsia="Times New Roman" w:hAnsi="Arial" w:cs="Arial"/>
          <w:sz w:val="20"/>
          <w:szCs w:val="20"/>
          <w:lang w:eastAsia="en-US"/>
        </w:rPr>
        <w:t xml:space="preserve">grant# </w:t>
      </w:r>
      <w:r w:rsidR="002F347A" w:rsidRPr="00B45D50">
        <w:rPr>
          <w:rFonts w:ascii="Arial" w:eastAsia="Times New Roman" w:hAnsi="Arial" w:cs="Arial"/>
          <w:sz w:val="20"/>
          <w:szCs w:val="20"/>
          <w:lang w:eastAsia="en-US"/>
        </w:rPr>
        <w:t>NNX13AD11G</w:t>
      </w:r>
      <w:r w:rsidR="002F347A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14:paraId="55C923EA" w14:textId="77777777" w:rsidR="0058184C" w:rsidRDefault="0058184C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D1B40B2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798DCFDE" w14:textId="77777777" w:rsidR="00B540E6" w:rsidRDefault="00B540E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540E6">
        <w:rPr>
          <w:rFonts w:ascii="Arial" w:hAnsi="Arial" w:cs="Arial"/>
          <w:sz w:val="20"/>
          <w:szCs w:val="20"/>
        </w:rPr>
        <w:t xml:space="preserve">[1] Burnett D. S. et al. </w:t>
      </w:r>
      <w:r w:rsidRPr="00B540E6">
        <w:rPr>
          <w:rFonts w:ascii="Arial" w:hAnsi="Arial" w:cs="Arial"/>
          <w:i/>
          <w:sz w:val="20"/>
          <w:szCs w:val="20"/>
        </w:rPr>
        <w:t xml:space="preserve">Space Science Rev </w:t>
      </w:r>
      <w:r w:rsidRPr="00B540E6">
        <w:rPr>
          <w:rFonts w:ascii="Arial" w:hAnsi="Arial" w:cs="Arial"/>
          <w:b/>
          <w:i/>
          <w:sz w:val="20"/>
          <w:szCs w:val="20"/>
        </w:rPr>
        <w:t>105</w:t>
      </w:r>
      <w:r w:rsidRPr="00B540E6">
        <w:rPr>
          <w:rFonts w:ascii="Arial" w:hAnsi="Arial" w:cs="Arial"/>
          <w:sz w:val="20"/>
          <w:szCs w:val="20"/>
        </w:rPr>
        <w:t>, 509-534</w:t>
      </w:r>
      <w:r>
        <w:rPr>
          <w:rFonts w:ascii="Arial" w:hAnsi="Arial" w:cs="Arial"/>
          <w:sz w:val="20"/>
          <w:szCs w:val="20"/>
        </w:rPr>
        <w:t xml:space="preserve"> (2003)</w:t>
      </w:r>
    </w:p>
    <w:p w14:paraId="506C645E" w14:textId="77777777" w:rsidR="003C5D2E" w:rsidRDefault="003C5D2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C5D2E">
        <w:rPr>
          <w:rFonts w:ascii="Arial" w:hAnsi="Arial" w:cs="Arial"/>
          <w:sz w:val="20"/>
          <w:szCs w:val="20"/>
        </w:rPr>
        <w:t>[</w:t>
      </w:r>
      <w:r w:rsidR="00B540E6">
        <w:rPr>
          <w:rFonts w:ascii="Arial" w:hAnsi="Arial" w:cs="Arial"/>
          <w:sz w:val="20"/>
          <w:szCs w:val="20"/>
        </w:rPr>
        <w:t>2</w:t>
      </w:r>
      <w:r w:rsidRPr="003C5D2E">
        <w:rPr>
          <w:rFonts w:ascii="Arial" w:hAnsi="Arial" w:cs="Arial"/>
          <w:sz w:val="20"/>
          <w:szCs w:val="20"/>
        </w:rPr>
        <w:t xml:space="preserve">] </w:t>
      </w:r>
      <w:proofErr w:type="spellStart"/>
      <w:r w:rsidRPr="003C5D2E">
        <w:rPr>
          <w:rFonts w:ascii="Arial" w:hAnsi="Arial" w:cs="Arial"/>
          <w:sz w:val="20"/>
          <w:szCs w:val="20"/>
        </w:rPr>
        <w:t>Goreva</w:t>
      </w:r>
      <w:proofErr w:type="spellEnd"/>
      <w:r w:rsidRPr="003C5D2E">
        <w:rPr>
          <w:rFonts w:ascii="Arial" w:hAnsi="Arial" w:cs="Arial"/>
          <w:sz w:val="20"/>
          <w:szCs w:val="20"/>
        </w:rPr>
        <w:t xml:space="preserve"> Y. et al. LPS </w:t>
      </w:r>
      <w:r w:rsidRPr="00B540E6">
        <w:rPr>
          <w:rFonts w:ascii="Arial" w:hAnsi="Arial" w:cs="Arial"/>
          <w:b/>
          <w:sz w:val="20"/>
          <w:szCs w:val="20"/>
        </w:rPr>
        <w:t>45</w:t>
      </w:r>
      <w:r w:rsidRPr="003C5D2E">
        <w:rPr>
          <w:rFonts w:ascii="Arial" w:hAnsi="Arial" w:cs="Arial"/>
          <w:sz w:val="20"/>
          <w:szCs w:val="20"/>
        </w:rPr>
        <w:t>, Abstract #2568</w:t>
      </w:r>
      <w:r w:rsidR="00B45D50" w:rsidRPr="003C5D2E">
        <w:rPr>
          <w:rFonts w:ascii="Arial" w:hAnsi="Arial" w:cs="Arial"/>
          <w:sz w:val="20"/>
          <w:szCs w:val="20"/>
        </w:rPr>
        <w:t xml:space="preserve"> (2014)</w:t>
      </w:r>
    </w:p>
    <w:sectPr w:rsidR="003C5D2E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3BBA" w14:textId="77777777" w:rsidR="009F6B34" w:rsidRDefault="009F6B34">
      <w:r>
        <w:separator/>
      </w:r>
    </w:p>
  </w:endnote>
  <w:endnote w:type="continuationSeparator" w:id="0">
    <w:p w14:paraId="40AF1F21" w14:textId="77777777" w:rsidR="009F6B34" w:rsidRDefault="009F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9E86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0706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1358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D0C3" w14:textId="77777777" w:rsidR="009F6B34" w:rsidRDefault="009F6B34">
      <w:r>
        <w:separator/>
      </w:r>
    </w:p>
  </w:footnote>
  <w:footnote w:type="continuationSeparator" w:id="0">
    <w:p w14:paraId="06347A60" w14:textId="77777777" w:rsidR="009F6B34" w:rsidRDefault="009F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CC12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D80C" w14:textId="77777777" w:rsidR="00F974C6" w:rsidRDefault="009862E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18190" wp14:editId="269477D0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6AE04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555EB6EE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28C51BD7" wp14:editId="2CC9C034">
          <wp:extent cx="520700" cy="627380"/>
          <wp:effectExtent l="0" t="0" r="0" b="127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13CC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C6251"/>
    <w:rsid w:val="000D3516"/>
    <w:rsid w:val="000D7A4E"/>
    <w:rsid w:val="000E1D4F"/>
    <w:rsid w:val="000F071B"/>
    <w:rsid w:val="00104A4C"/>
    <w:rsid w:val="00113D92"/>
    <w:rsid w:val="00120180"/>
    <w:rsid w:val="00126828"/>
    <w:rsid w:val="0014131B"/>
    <w:rsid w:val="00141FE9"/>
    <w:rsid w:val="00152626"/>
    <w:rsid w:val="00155AD2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2F347A"/>
    <w:rsid w:val="00300116"/>
    <w:rsid w:val="00306550"/>
    <w:rsid w:val="00312C04"/>
    <w:rsid w:val="00334CEB"/>
    <w:rsid w:val="003560D2"/>
    <w:rsid w:val="00363C8F"/>
    <w:rsid w:val="00376D2C"/>
    <w:rsid w:val="00393065"/>
    <w:rsid w:val="003A1FF5"/>
    <w:rsid w:val="003C5D2E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F160B"/>
    <w:rsid w:val="005034C0"/>
    <w:rsid w:val="00511F7E"/>
    <w:rsid w:val="00515685"/>
    <w:rsid w:val="005173CE"/>
    <w:rsid w:val="0053142A"/>
    <w:rsid w:val="005452B9"/>
    <w:rsid w:val="0058184C"/>
    <w:rsid w:val="00583BC3"/>
    <w:rsid w:val="005A1B84"/>
    <w:rsid w:val="005C4422"/>
    <w:rsid w:val="005C4667"/>
    <w:rsid w:val="005C5648"/>
    <w:rsid w:val="005D47C3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0DBD"/>
    <w:rsid w:val="008F35CC"/>
    <w:rsid w:val="008F6083"/>
    <w:rsid w:val="00920302"/>
    <w:rsid w:val="009648AC"/>
    <w:rsid w:val="009862ED"/>
    <w:rsid w:val="009A39F6"/>
    <w:rsid w:val="009A3F73"/>
    <w:rsid w:val="009B41B2"/>
    <w:rsid w:val="009C318D"/>
    <w:rsid w:val="009C3DF0"/>
    <w:rsid w:val="009C7F31"/>
    <w:rsid w:val="009D39A4"/>
    <w:rsid w:val="009E4F1E"/>
    <w:rsid w:val="009F6B34"/>
    <w:rsid w:val="00A1227A"/>
    <w:rsid w:val="00A42262"/>
    <w:rsid w:val="00A43CDE"/>
    <w:rsid w:val="00A55035"/>
    <w:rsid w:val="00A758E6"/>
    <w:rsid w:val="00A82A70"/>
    <w:rsid w:val="00A94FC4"/>
    <w:rsid w:val="00AC297F"/>
    <w:rsid w:val="00AC4AFE"/>
    <w:rsid w:val="00AD3CDD"/>
    <w:rsid w:val="00AE142B"/>
    <w:rsid w:val="00AF7C63"/>
    <w:rsid w:val="00B00CDB"/>
    <w:rsid w:val="00B03CCA"/>
    <w:rsid w:val="00B25D4D"/>
    <w:rsid w:val="00B41B74"/>
    <w:rsid w:val="00B45112"/>
    <w:rsid w:val="00B45D50"/>
    <w:rsid w:val="00B540E6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74F75"/>
    <w:rsid w:val="00D851F6"/>
    <w:rsid w:val="00DD44E5"/>
    <w:rsid w:val="00DE3216"/>
    <w:rsid w:val="00E04B24"/>
    <w:rsid w:val="00E07ED9"/>
    <w:rsid w:val="00E25473"/>
    <w:rsid w:val="00E31DAA"/>
    <w:rsid w:val="00E411D1"/>
    <w:rsid w:val="00E43BB4"/>
    <w:rsid w:val="00E5095B"/>
    <w:rsid w:val="00E57E61"/>
    <w:rsid w:val="00E60509"/>
    <w:rsid w:val="00EA1E33"/>
    <w:rsid w:val="00EB489A"/>
    <w:rsid w:val="00EB515D"/>
    <w:rsid w:val="00EE1A1A"/>
    <w:rsid w:val="00F23F2F"/>
    <w:rsid w:val="00F243B1"/>
    <w:rsid w:val="00F31351"/>
    <w:rsid w:val="00F31B06"/>
    <w:rsid w:val="00F43581"/>
    <w:rsid w:val="00F4530F"/>
    <w:rsid w:val="00F45B22"/>
    <w:rsid w:val="00F52E02"/>
    <w:rsid w:val="00F5422D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5F2C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91A14-BEC7-47C0-8368-F74CCBE86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2016-03-21T16:52:00Z</dcterms:created>
  <dcterms:modified xsi:type="dcterms:W3CDTF">2016-03-21T16:53:00Z</dcterms:modified>
</cp:coreProperties>
</file>