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3ABB" w14:textId="0AB6291F" w:rsidR="0073573D" w:rsidRPr="00D65CBB" w:rsidRDefault="00A004A4" w:rsidP="00A00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73573D">
        <w:rPr>
          <w:rFonts w:ascii="Arial" w:hAnsi="Arial" w:cs="Arial"/>
          <w:b/>
        </w:rPr>
        <w:t>ependence of Quench Degradation Limit on</w:t>
      </w:r>
      <w:r w:rsidR="0073573D" w:rsidRPr="00055A0F">
        <w:rPr>
          <w:rFonts w:ascii="Arial" w:hAnsi="Arial" w:cs="Arial"/>
          <w:b/>
        </w:rPr>
        <w:t xml:space="preserve"> A</w:t>
      </w:r>
      <w:r w:rsidR="0073573D">
        <w:rPr>
          <w:rFonts w:ascii="Arial" w:hAnsi="Arial" w:cs="Arial"/>
          <w:b/>
        </w:rPr>
        <w:t>xial</w:t>
      </w:r>
      <w:r w:rsidR="0073573D" w:rsidRPr="00055A0F">
        <w:rPr>
          <w:rFonts w:ascii="Arial" w:hAnsi="Arial" w:cs="Arial"/>
          <w:b/>
        </w:rPr>
        <w:t xml:space="preserve"> S</w:t>
      </w:r>
      <w:r w:rsidR="0073573D">
        <w:rPr>
          <w:rFonts w:ascii="Arial" w:hAnsi="Arial" w:cs="Arial"/>
          <w:b/>
        </w:rPr>
        <w:t>tress</w:t>
      </w:r>
      <w:r w:rsidR="0073573D" w:rsidRPr="00055A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up to 1</w:t>
      </w:r>
      <w:r w:rsidR="00DE6D13">
        <w:rPr>
          <w:rFonts w:ascii="Arial" w:hAnsi="Arial" w:cs="Arial"/>
          <w:b/>
        </w:rPr>
        <w:t>60</w:t>
      </w:r>
      <w:r>
        <w:rPr>
          <w:rFonts w:ascii="Arial" w:hAnsi="Arial" w:cs="Arial"/>
          <w:b/>
        </w:rPr>
        <w:t xml:space="preserve"> MPa for High </w:t>
      </w:r>
      <w:r w:rsidR="00696964">
        <w:rPr>
          <w:rFonts w:ascii="Arial" w:hAnsi="Arial" w:cs="Arial"/>
          <w:b/>
        </w:rPr>
        <w:t>Performance</w:t>
      </w:r>
      <w:r>
        <w:rPr>
          <w:rFonts w:ascii="Arial" w:hAnsi="Arial" w:cs="Arial"/>
          <w:b/>
        </w:rPr>
        <w:t xml:space="preserve"> Bi-2212 wires</w:t>
      </w:r>
      <w:r w:rsidR="00A95C0B">
        <w:rPr>
          <w:rFonts w:ascii="Arial" w:hAnsi="Arial" w:cs="Arial"/>
          <w:b/>
        </w:rPr>
        <w:t xml:space="preserve"> up to 30 T</w:t>
      </w:r>
    </w:p>
    <w:p w14:paraId="72A7EFF9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FAE0DB5" w14:textId="0ABF80DC" w:rsidR="00A94FC4" w:rsidRPr="006B3824" w:rsidRDefault="006E5C1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Ye,</w:t>
      </w:r>
      <w:r w:rsidR="00FB43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FB4399">
        <w:rPr>
          <w:rFonts w:ascii="Arial" w:hAnsi="Arial" w:cs="Arial"/>
          <w:sz w:val="20"/>
          <w:szCs w:val="20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="000D3C2B">
        <w:rPr>
          <w:rFonts w:ascii="Arial" w:hAnsi="Arial" w:cs="Arial"/>
          <w:sz w:val="20"/>
          <w:szCs w:val="20"/>
        </w:rPr>
        <w:t>ermilab</w:t>
      </w:r>
      <w:proofErr w:type="spellEnd"/>
      <w:r w:rsidR="00A004A4">
        <w:rPr>
          <w:rFonts w:ascii="Arial" w:hAnsi="Arial" w:cs="Arial"/>
          <w:sz w:val="20"/>
          <w:szCs w:val="20"/>
        </w:rPr>
        <w:t>; NC</w:t>
      </w:r>
      <w:r w:rsidR="00A004A4" w:rsidRPr="006B3824">
        <w:rPr>
          <w:rFonts w:ascii="Arial" w:hAnsi="Arial" w:cs="Arial"/>
          <w:sz w:val="20"/>
          <w:szCs w:val="20"/>
        </w:rPr>
        <w:t>SU</w:t>
      </w:r>
      <w:r w:rsidR="00A94FC4" w:rsidRPr="006B3824">
        <w:rPr>
          <w:rFonts w:ascii="Arial" w:hAnsi="Arial" w:cs="Arial"/>
          <w:sz w:val="20"/>
          <w:szCs w:val="20"/>
        </w:rPr>
        <w:t xml:space="preserve">); </w:t>
      </w:r>
      <w:r w:rsidR="000D3C2B">
        <w:rPr>
          <w:rFonts w:ascii="Arial" w:hAnsi="Arial" w:cs="Arial"/>
          <w:sz w:val="20"/>
          <w:szCs w:val="20"/>
        </w:rPr>
        <w:t>Li, P. (</w:t>
      </w:r>
      <w:proofErr w:type="spellStart"/>
      <w:r w:rsidR="000D3C2B">
        <w:rPr>
          <w:rFonts w:ascii="Arial" w:hAnsi="Arial" w:cs="Arial"/>
          <w:sz w:val="20"/>
          <w:szCs w:val="20"/>
        </w:rPr>
        <w:t>Fermilab</w:t>
      </w:r>
      <w:proofErr w:type="spellEnd"/>
      <w:r w:rsidR="000D3C2B">
        <w:rPr>
          <w:rFonts w:ascii="Arial" w:hAnsi="Arial" w:cs="Arial"/>
          <w:sz w:val="20"/>
          <w:szCs w:val="20"/>
        </w:rPr>
        <w:t xml:space="preserve">); </w:t>
      </w:r>
      <w:proofErr w:type="spellStart"/>
      <w:r w:rsidR="00AC0A2C" w:rsidRPr="00AC0A2C">
        <w:rPr>
          <w:rFonts w:ascii="Arial" w:hAnsi="Arial" w:cs="Arial"/>
          <w:sz w:val="20"/>
          <w:szCs w:val="20"/>
        </w:rPr>
        <w:t>Jaroszynski</w:t>
      </w:r>
      <w:proofErr w:type="spellEnd"/>
      <w:r w:rsidR="00A553A2">
        <w:rPr>
          <w:rFonts w:ascii="Arial" w:hAnsi="Arial" w:cs="Arial"/>
          <w:sz w:val="20"/>
          <w:szCs w:val="20"/>
        </w:rPr>
        <w:t>, J</w:t>
      </w:r>
      <w:r w:rsidR="0073573D">
        <w:rPr>
          <w:rFonts w:ascii="Arial" w:hAnsi="Arial" w:cs="Arial"/>
          <w:sz w:val="20"/>
          <w:szCs w:val="20"/>
        </w:rPr>
        <w:t xml:space="preserve">. (NHMFL); </w:t>
      </w:r>
      <w:r w:rsidR="000D3C2B">
        <w:rPr>
          <w:rFonts w:ascii="Arial" w:hAnsi="Arial" w:cs="Arial"/>
          <w:sz w:val="20"/>
          <w:szCs w:val="20"/>
        </w:rPr>
        <w:t>Schwartz, J. (NCSU)</w:t>
      </w:r>
      <w:r w:rsidR="00BC2D03">
        <w:rPr>
          <w:rFonts w:ascii="Arial" w:hAnsi="Arial" w:cs="Arial"/>
          <w:sz w:val="20"/>
          <w:szCs w:val="20"/>
        </w:rPr>
        <w:t xml:space="preserve"> and</w:t>
      </w:r>
      <w:r w:rsidR="000D3C2B">
        <w:rPr>
          <w:rFonts w:ascii="Arial" w:hAnsi="Arial" w:cs="Arial"/>
          <w:sz w:val="20"/>
          <w:szCs w:val="20"/>
        </w:rPr>
        <w:t xml:space="preserve"> </w:t>
      </w:r>
      <w:r w:rsidR="0073573D" w:rsidRPr="0073573D">
        <w:rPr>
          <w:rFonts w:ascii="Arial" w:hAnsi="Arial" w:cs="Arial"/>
          <w:sz w:val="20"/>
          <w:szCs w:val="20"/>
          <w:u w:val="single"/>
        </w:rPr>
        <w:t>Shen</w:t>
      </w:r>
      <w:r w:rsidR="00FB4399">
        <w:rPr>
          <w:rFonts w:ascii="Arial" w:hAnsi="Arial" w:cs="Arial"/>
          <w:sz w:val="20"/>
          <w:szCs w:val="20"/>
          <w:u w:val="single"/>
        </w:rPr>
        <w:t xml:space="preserve">, </w:t>
      </w:r>
      <w:r w:rsidR="0073573D">
        <w:rPr>
          <w:rFonts w:ascii="Arial" w:hAnsi="Arial" w:cs="Arial"/>
          <w:sz w:val="20"/>
          <w:szCs w:val="20"/>
          <w:u w:val="single"/>
        </w:rPr>
        <w:t>T</w:t>
      </w:r>
      <w:r w:rsidR="00FB4399">
        <w:rPr>
          <w:rFonts w:ascii="Arial" w:hAnsi="Arial" w:cs="Arial"/>
          <w:sz w:val="20"/>
          <w:szCs w:val="20"/>
          <w:u w:val="single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D3C2B">
        <w:rPr>
          <w:rFonts w:ascii="Arial" w:hAnsi="Arial" w:cs="Arial"/>
          <w:sz w:val="20"/>
          <w:szCs w:val="20"/>
        </w:rPr>
        <w:t>Fermilab</w:t>
      </w:r>
      <w:proofErr w:type="spellEnd"/>
      <w:r w:rsidR="0073573D">
        <w:rPr>
          <w:rFonts w:ascii="Arial" w:hAnsi="Arial" w:cs="Arial"/>
          <w:sz w:val="20"/>
          <w:szCs w:val="20"/>
        </w:rPr>
        <w:t>)</w:t>
      </w:r>
    </w:p>
    <w:p w14:paraId="4350A21C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767DF59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6EFFE46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2FFA8BF6" w14:textId="7EC2F7C9" w:rsidR="002524EE" w:rsidRPr="006B3824" w:rsidRDefault="006B3824" w:rsidP="0084373B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E24620">
        <w:rPr>
          <w:rFonts w:ascii="Arial" w:hAnsi="Arial" w:cs="Arial"/>
          <w:sz w:val="20"/>
          <w:szCs w:val="20"/>
        </w:rPr>
        <w:t xml:space="preserve">To </w:t>
      </w:r>
      <w:r w:rsidR="00B4767F">
        <w:rPr>
          <w:rFonts w:ascii="Arial" w:hAnsi="Arial" w:cs="Arial"/>
          <w:sz w:val="20"/>
          <w:szCs w:val="20"/>
        </w:rPr>
        <w:t>explore design</w:t>
      </w:r>
      <w:r w:rsidR="00091842">
        <w:rPr>
          <w:rFonts w:ascii="Arial" w:hAnsi="Arial" w:cs="Arial"/>
          <w:sz w:val="20"/>
          <w:szCs w:val="20"/>
        </w:rPr>
        <w:t xml:space="preserve"> and </w:t>
      </w:r>
      <w:r w:rsidR="00E24620">
        <w:rPr>
          <w:rFonts w:ascii="Arial" w:hAnsi="Arial" w:cs="Arial"/>
          <w:sz w:val="20"/>
          <w:szCs w:val="20"/>
        </w:rPr>
        <w:t xml:space="preserve">limit of Bi-2212 high field magnet technology, </w:t>
      </w:r>
      <w:r w:rsidR="00B4767F">
        <w:rPr>
          <w:rFonts w:ascii="Arial" w:hAnsi="Arial" w:cs="Arial"/>
          <w:sz w:val="20"/>
          <w:szCs w:val="20"/>
        </w:rPr>
        <w:t>we</w:t>
      </w:r>
      <w:r w:rsidR="00A004A4">
        <w:rPr>
          <w:rFonts w:ascii="Arial" w:hAnsi="Arial" w:cs="Arial"/>
          <w:sz w:val="20"/>
          <w:szCs w:val="20"/>
        </w:rPr>
        <w:t xml:space="preserve"> </w:t>
      </w:r>
      <w:r w:rsidR="00B4767F">
        <w:rPr>
          <w:rFonts w:ascii="Arial" w:hAnsi="Arial" w:cs="Arial"/>
          <w:sz w:val="20"/>
          <w:szCs w:val="20"/>
        </w:rPr>
        <w:t>determine</w:t>
      </w:r>
      <w:r w:rsidR="00091842">
        <w:rPr>
          <w:rFonts w:ascii="Arial" w:hAnsi="Arial" w:cs="Arial"/>
          <w:sz w:val="20"/>
          <w:szCs w:val="20"/>
        </w:rPr>
        <w:t xml:space="preserve"> the influence of stress and strain on the </w:t>
      </w:r>
      <w:r w:rsidR="00A004A4">
        <w:rPr>
          <w:rFonts w:ascii="Arial" w:hAnsi="Arial" w:cs="Arial"/>
          <w:sz w:val="20"/>
          <w:szCs w:val="20"/>
        </w:rPr>
        <w:t xml:space="preserve">maximum allowable temperature limit during a quench </w:t>
      </w:r>
      <w:r w:rsidR="0004292C">
        <w:rPr>
          <w:rFonts w:ascii="Arial" w:hAnsi="Arial" w:cs="Arial"/>
          <w:sz w:val="20"/>
          <w:szCs w:val="20"/>
        </w:rPr>
        <w:t>for</w:t>
      </w:r>
      <w:r w:rsidR="00AC0A2C" w:rsidRPr="00AC0A2C">
        <w:rPr>
          <w:rFonts w:ascii="Arial" w:hAnsi="Arial" w:cs="Arial"/>
          <w:sz w:val="20"/>
          <w:szCs w:val="20"/>
        </w:rPr>
        <w:t xml:space="preserve"> </w:t>
      </w:r>
      <w:r w:rsidR="00091842">
        <w:rPr>
          <w:rFonts w:ascii="Arial" w:hAnsi="Arial" w:cs="Arial"/>
          <w:sz w:val="20"/>
          <w:szCs w:val="20"/>
        </w:rPr>
        <w:t xml:space="preserve">the state-of-the-art commercial </w:t>
      </w:r>
      <w:r w:rsidR="00AC0A2C" w:rsidRPr="00AC0A2C">
        <w:rPr>
          <w:rFonts w:ascii="Arial" w:hAnsi="Arial" w:cs="Arial"/>
          <w:sz w:val="20"/>
          <w:szCs w:val="20"/>
        </w:rPr>
        <w:t>Bi</w:t>
      </w:r>
      <w:r w:rsidR="00D34BAA">
        <w:rPr>
          <w:rFonts w:ascii="Arial" w:hAnsi="Arial" w:cs="Arial"/>
          <w:sz w:val="20"/>
          <w:szCs w:val="20"/>
        </w:rPr>
        <w:t>-</w:t>
      </w:r>
      <w:r w:rsidR="00AC0A2C" w:rsidRPr="00AC0A2C">
        <w:rPr>
          <w:rFonts w:ascii="Arial" w:hAnsi="Arial" w:cs="Arial"/>
          <w:sz w:val="20"/>
          <w:szCs w:val="20"/>
        </w:rPr>
        <w:t>2212 strand</w:t>
      </w:r>
      <w:r w:rsidR="00E24620">
        <w:rPr>
          <w:rFonts w:ascii="Arial" w:hAnsi="Arial" w:cs="Arial"/>
          <w:sz w:val="20"/>
          <w:szCs w:val="20"/>
        </w:rPr>
        <w:t xml:space="preserve"> in magnetic fields up to 30 T</w:t>
      </w:r>
      <w:r w:rsidR="001A5F3B">
        <w:rPr>
          <w:rFonts w:ascii="Arial" w:hAnsi="Arial" w:cs="Arial"/>
          <w:sz w:val="20"/>
          <w:szCs w:val="20"/>
        </w:rPr>
        <w:t xml:space="preserve"> in cell 7</w:t>
      </w:r>
      <w:r w:rsidR="000363E7">
        <w:rPr>
          <w:rFonts w:ascii="Arial" w:hAnsi="Arial" w:cs="Arial"/>
          <w:sz w:val="20"/>
          <w:szCs w:val="20"/>
        </w:rPr>
        <w:t>.</w:t>
      </w:r>
    </w:p>
    <w:p w14:paraId="39D82F9D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5A76C4F" w14:textId="1ADECB32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600BCA">
        <w:rPr>
          <w:rFonts w:ascii="Arial" w:hAnsi="Arial" w:cs="Arial"/>
          <w:b/>
          <w:sz w:val="20"/>
          <w:szCs w:val="20"/>
        </w:rPr>
        <w:t xml:space="preserve"> Details</w:t>
      </w:r>
    </w:p>
    <w:p w14:paraId="116D8D59" w14:textId="1DA681DC" w:rsidR="00611558" w:rsidRDefault="006B3824" w:rsidP="00A776F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63E7">
        <w:rPr>
          <w:rFonts w:ascii="Arial" w:hAnsi="Arial" w:cs="Arial"/>
          <w:sz w:val="20"/>
          <w:szCs w:val="20"/>
        </w:rPr>
        <w:t xml:space="preserve">High performance commercial </w:t>
      </w:r>
      <w:proofErr w:type="spellStart"/>
      <w:r w:rsidR="00B4767F">
        <w:rPr>
          <w:rFonts w:ascii="Arial" w:hAnsi="Arial" w:cs="Arial"/>
          <w:sz w:val="20"/>
          <w:szCs w:val="20"/>
        </w:rPr>
        <w:t>multifilamentary</w:t>
      </w:r>
      <w:proofErr w:type="spellEnd"/>
      <w:r w:rsidR="00B4767F">
        <w:rPr>
          <w:rFonts w:ascii="Arial" w:hAnsi="Arial" w:cs="Arial"/>
          <w:sz w:val="20"/>
          <w:szCs w:val="20"/>
        </w:rPr>
        <w:t xml:space="preserve"> </w:t>
      </w:r>
      <w:r w:rsidR="000363E7">
        <w:rPr>
          <w:rFonts w:ascii="Arial" w:hAnsi="Arial" w:cs="Arial"/>
          <w:sz w:val="20"/>
          <w:szCs w:val="20"/>
        </w:rPr>
        <w:t xml:space="preserve">Ag/Bi-2212 </w:t>
      </w:r>
      <w:r w:rsidR="00B4767F">
        <w:rPr>
          <w:rFonts w:ascii="Arial" w:hAnsi="Arial" w:cs="Arial"/>
          <w:sz w:val="20"/>
          <w:szCs w:val="20"/>
        </w:rPr>
        <w:t>round wires (Fig. 1 inset) were</w:t>
      </w:r>
      <w:r w:rsidR="000363E7">
        <w:rPr>
          <w:rFonts w:ascii="Arial" w:hAnsi="Arial" w:cs="Arial"/>
          <w:sz w:val="20"/>
          <w:szCs w:val="20"/>
        </w:rPr>
        <w:t xml:space="preserve"> </w:t>
      </w:r>
      <w:r w:rsidR="009059AF">
        <w:rPr>
          <w:rFonts w:ascii="Arial" w:hAnsi="Arial" w:cs="Arial"/>
          <w:sz w:val="20"/>
          <w:szCs w:val="20"/>
        </w:rPr>
        <w:t>heat treated using an overpressure processing</w:t>
      </w:r>
      <w:r w:rsidR="000363E7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0363E7">
        <w:rPr>
          <w:rFonts w:ascii="Arial" w:hAnsi="Arial" w:cs="Arial"/>
          <w:sz w:val="20"/>
          <w:szCs w:val="20"/>
        </w:rPr>
        <w:t>Fermilab</w:t>
      </w:r>
      <w:proofErr w:type="spellEnd"/>
      <w:r w:rsidR="000363E7">
        <w:rPr>
          <w:rFonts w:ascii="Arial" w:hAnsi="Arial" w:cs="Arial"/>
          <w:sz w:val="20"/>
          <w:szCs w:val="20"/>
        </w:rPr>
        <w:t xml:space="preserve"> to obtain high critical current density. </w:t>
      </w:r>
      <w:r w:rsidR="00696964">
        <w:rPr>
          <w:rFonts w:ascii="Arial" w:hAnsi="Arial" w:cs="Arial"/>
          <w:sz w:val="20"/>
          <w:szCs w:val="20"/>
        </w:rPr>
        <w:t xml:space="preserve">Strands were measured </w:t>
      </w:r>
      <w:r w:rsidR="00611558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611558">
        <w:rPr>
          <w:rFonts w:ascii="Arial" w:hAnsi="Arial" w:cs="Arial"/>
          <w:sz w:val="20"/>
          <w:szCs w:val="20"/>
        </w:rPr>
        <w:t>Fermilab</w:t>
      </w:r>
      <w:proofErr w:type="spellEnd"/>
      <w:r w:rsidR="00611558">
        <w:rPr>
          <w:rFonts w:ascii="Arial" w:hAnsi="Arial" w:cs="Arial"/>
          <w:sz w:val="20"/>
          <w:szCs w:val="20"/>
        </w:rPr>
        <w:t xml:space="preserve"> </w:t>
      </w:r>
      <w:r w:rsidR="00B4767F">
        <w:rPr>
          <w:rFonts w:ascii="Arial" w:hAnsi="Arial" w:cs="Arial"/>
          <w:sz w:val="20"/>
          <w:szCs w:val="20"/>
        </w:rPr>
        <w:t xml:space="preserve">in magnetic fields up </w:t>
      </w:r>
      <w:r w:rsidR="00611558">
        <w:rPr>
          <w:rFonts w:ascii="Arial" w:hAnsi="Arial" w:cs="Arial"/>
          <w:sz w:val="20"/>
          <w:szCs w:val="20"/>
        </w:rPr>
        <w:t xml:space="preserve">to 15 T and then at NHMFL from 15 T to 30 T </w:t>
      </w:r>
      <w:r w:rsidR="00696964">
        <w:rPr>
          <w:rFonts w:ascii="Arial" w:hAnsi="Arial" w:cs="Arial"/>
          <w:sz w:val="20"/>
          <w:szCs w:val="20"/>
        </w:rPr>
        <w:t xml:space="preserve">(Fig. 1).  </w:t>
      </w:r>
      <w:r w:rsidR="00611558">
        <w:rPr>
          <w:rFonts w:ascii="Arial" w:hAnsi="Arial" w:cs="Arial"/>
          <w:sz w:val="20"/>
          <w:szCs w:val="20"/>
        </w:rPr>
        <w:t xml:space="preserve">The critical axial stress at which the critical current density degrades irreversibly was determined to be </w:t>
      </w:r>
      <w:r w:rsidR="0045788B">
        <w:rPr>
          <w:rFonts w:ascii="Arial" w:hAnsi="Arial" w:cs="Arial"/>
          <w:sz w:val="20"/>
          <w:szCs w:val="20"/>
        </w:rPr>
        <w:t>15</w:t>
      </w:r>
      <w:r w:rsidR="00DE6D13">
        <w:rPr>
          <w:rFonts w:ascii="Arial" w:hAnsi="Arial" w:cs="Arial"/>
          <w:sz w:val="20"/>
          <w:szCs w:val="20"/>
        </w:rPr>
        <w:t>5</w:t>
      </w:r>
      <w:r w:rsidR="00611558">
        <w:rPr>
          <w:rFonts w:ascii="Arial" w:hAnsi="Arial" w:cs="Arial"/>
          <w:sz w:val="20"/>
          <w:szCs w:val="20"/>
        </w:rPr>
        <w:t xml:space="preserve"> MPa, by using hoop stress generated</w:t>
      </w:r>
      <w:r w:rsidR="000E62CE">
        <w:rPr>
          <w:rFonts w:ascii="Arial" w:hAnsi="Arial" w:cs="Arial"/>
          <w:sz w:val="20"/>
          <w:szCs w:val="20"/>
        </w:rPr>
        <w:t xml:space="preserve"> on the spiral of the ITER barrel</w:t>
      </w:r>
      <w:r w:rsidR="00611558">
        <w:rPr>
          <w:rFonts w:ascii="Arial" w:hAnsi="Arial" w:cs="Arial"/>
          <w:sz w:val="20"/>
          <w:szCs w:val="20"/>
        </w:rPr>
        <w:t xml:space="preserve"> through applying </w:t>
      </w:r>
      <w:r w:rsidR="003D5E4D">
        <w:rPr>
          <w:rFonts w:ascii="Arial" w:hAnsi="Arial" w:cs="Arial"/>
          <w:sz w:val="20"/>
          <w:szCs w:val="20"/>
        </w:rPr>
        <w:t xml:space="preserve">unsupported </w:t>
      </w:r>
      <w:r w:rsidR="00611558">
        <w:rPr>
          <w:rFonts w:ascii="Arial" w:hAnsi="Arial" w:cs="Arial"/>
          <w:sz w:val="20"/>
          <w:szCs w:val="20"/>
        </w:rPr>
        <w:t xml:space="preserve">Lorentz force </w:t>
      </w:r>
      <w:r w:rsidR="000E62CE">
        <w:rPr>
          <w:rFonts w:ascii="Arial" w:hAnsi="Arial" w:cs="Arial"/>
          <w:sz w:val="20"/>
          <w:szCs w:val="20"/>
        </w:rPr>
        <w:t xml:space="preserve">to the conductor </w:t>
      </w:r>
      <w:r w:rsidR="00611558">
        <w:rPr>
          <w:rFonts w:ascii="Arial" w:hAnsi="Arial" w:cs="Arial"/>
          <w:sz w:val="20"/>
          <w:szCs w:val="20"/>
        </w:rPr>
        <w:t xml:space="preserve">(Fig. 2).  Quench induced critical current density degradation was then determined at various stress levels </w:t>
      </w:r>
      <w:r w:rsidR="005E61AD">
        <w:rPr>
          <w:rFonts w:ascii="Arial" w:hAnsi="Arial" w:cs="Arial"/>
          <w:sz w:val="20"/>
          <w:szCs w:val="20"/>
        </w:rPr>
        <w:t xml:space="preserve">up to </w:t>
      </w:r>
      <w:r w:rsidR="00F17C5C">
        <w:rPr>
          <w:rFonts w:ascii="Arial" w:hAnsi="Arial" w:cs="Arial"/>
          <w:sz w:val="20"/>
          <w:szCs w:val="20"/>
        </w:rPr>
        <w:t xml:space="preserve">135 MPa </w:t>
      </w:r>
      <w:r w:rsidR="00EA094B">
        <w:rPr>
          <w:rFonts w:ascii="Arial" w:hAnsi="Arial" w:cs="Arial"/>
          <w:sz w:val="20"/>
          <w:szCs w:val="20"/>
        </w:rPr>
        <w:t>using a series of voltage tap</w:t>
      </w:r>
      <w:r w:rsidR="00611558">
        <w:rPr>
          <w:rFonts w:ascii="Arial" w:hAnsi="Arial" w:cs="Arial"/>
          <w:sz w:val="20"/>
          <w:szCs w:val="20"/>
        </w:rPr>
        <w:t xml:space="preserve">s and thermocouples. </w:t>
      </w:r>
      <w:r w:rsidR="00B4767F">
        <w:rPr>
          <w:rFonts w:ascii="Arial" w:hAnsi="Arial" w:cs="Arial"/>
          <w:sz w:val="20"/>
          <w:szCs w:val="20"/>
        </w:rPr>
        <w:t>A</w:t>
      </w:r>
      <w:r w:rsidR="00611558">
        <w:rPr>
          <w:rFonts w:ascii="Arial" w:hAnsi="Arial" w:cs="Arial"/>
          <w:sz w:val="20"/>
          <w:szCs w:val="20"/>
        </w:rPr>
        <w:t>n epoxy quench</w:t>
      </w:r>
      <w:r w:rsidR="00B4767F">
        <w:rPr>
          <w:rFonts w:ascii="Arial" w:hAnsi="Arial" w:cs="Arial"/>
          <w:sz w:val="20"/>
          <w:szCs w:val="20"/>
        </w:rPr>
        <w:t xml:space="preserve"> initiation</w:t>
      </w:r>
      <w:r w:rsidR="00611558">
        <w:rPr>
          <w:rFonts w:ascii="Arial" w:hAnsi="Arial" w:cs="Arial"/>
          <w:sz w:val="20"/>
          <w:szCs w:val="20"/>
        </w:rPr>
        <w:t xml:space="preserve"> heater </w:t>
      </w:r>
      <w:r w:rsidR="00B4767F">
        <w:rPr>
          <w:rFonts w:ascii="Arial" w:hAnsi="Arial" w:cs="Arial"/>
          <w:sz w:val="20"/>
          <w:szCs w:val="20"/>
        </w:rPr>
        <w:t xml:space="preserve">was </w:t>
      </w:r>
      <w:r w:rsidR="00611558">
        <w:rPr>
          <w:rFonts w:ascii="Arial" w:hAnsi="Arial" w:cs="Arial"/>
          <w:sz w:val="20"/>
          <w:szCs w:val="20"/>
        </w:rPr>
        <w:t xml:space="preserve">used </w:t>
      </w:r>
      <w:r w:rsidR="00B4767F">
        <w:rPr>
          <w:rFonts w:ascii="Arial" w:hAnsi="Arial" w:cs="Arial"/>
          <w:sz w:val="20"/>
          <w:szCs w:val="20"/>
        </w:rPr>
        <w:t>to minimize the damage to the conductor during handling and was a key factor</w:t>
      </w:r>
      <w:r w:rsidR="00611558">
        <w:rPr>
          <w:rFonts w:ascii="Arial" w:hAnsi="Arial" w:cs="Arial"/>
          <w:sz w:val="20"/>
          <w:szCs w:val="20"/>
        </w:rPr>
        <w:t xml:space="preserve"> that such measurement is feasible. </w:t>
      </w:r>
    </w:p>
    <w:p w14:paraId="693320CA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97DDA7E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C34104F" w14:textId="333FA826" w:rsidR="004F33C9" w:rsidRPr="004F33C9" w:rsidRDefault="006B3824" w:rsidP="004F33C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E1327">
        <w:rPr>
          <w:rFonts w:ascii="Arial" w:hAnsi="Arial" w:cs="Arial"/>
          <w:sz w:val="20"/>
          <w:szCs w:val="20"/>
        </w:rPr>
        <w:t xml:space="preserve">Samples were measured to carry </w:t>
      </w:r>
      <w:r w:rsidR="005E1327" w:rsidRPr="000F6C53">
        <w:rPr>
          <w:rFonts w:ascii="Arial" w:hAnsi="Arial" w:cs="Arial"/>
          <w:i/>
          <w:sz w:val="20"/>
          <w:szCs w:val="20"/>
        </w:rPr>
        <w:t>J</w:t>
      </w:r>
      <w:r w:rsidR="005E1327" w:rsidRPr="000F6C53">
        <w:rPr>
          <w:rFonts w:ascii="Arial" w:hAnsi="Arial" w:cs="Arial"/>
          <w:sz w:val="20"/>
          <w:szCs w:val="20"/>
          <w:vertAlign w:val="subscript"/>
        </w:rPr>
        <w:t>E</w:t>
      </w:r>
      <w:r w:rsidR="005E1327">
        <w:rPr>
          <w:rFonts w:ascii="Arial" w:hAnsi="Arial" w:cs="Arial"/>
          <w:sz w:val="20"/>
          <w:szCs w:val="20"/>
        </w:rPr>
        <w:t xml:space="preserve"> of 515 A/mm</w:t>
      </w:r>
      <w:r w:rsidR="005E1327" w:rsidRPr="000F6C53">
        <w:rPr>
          <w:rFonts w:ascii="Arial" w:hAnsi="Arial" w:cs="Arial"/>
          <w:sz w:val="20"/>
          <w:szCs w:val="20"/>
          <w:vertAlign w:val="superscript"/>
        </w:rPr>
        <w:t>2</w:t>
      </w:r>
      <w:r w:rsidR="005E1327">
        <w:rPr>
          <w:rFonts w:ascii="Arial" w:hAnsi="Arial" w:cs="Arial"/>
          <w:sz w:val="20"/>
          <w:szCs w:val="20"/>
        </w:rPr>
        <w:t xml:space="preserve"> at 4.2 K and 20 T (Fig. 1) and had a critical axial stress of ~150 MPa.  </w:t>
      </w:r>
      <w:r w:rsidR="004F33C9">
        <w:rPr>
          <w:rFonts w:ascii="Arial" w:hAnsi="Arial" w:cs="Arial"/>
          <w:sz w:val="20"/>
          <w:szCs w:val="20"/>
        </w:rPr>
        <w:t xml:space="preserve">Fig. </w:t>
      </w:r>
      <w:r w:rsidR="00B34B22">
        <w:rPr>
          <w:rFonts w:ascii="Arial" w:hAnsi="Arial" w:cs="Arial"/>
          <w:sz w:val="20"/>
          <w:szCs w:val="20"/>
        </w:rPr>
        <w:t>3</w:t>
      </w:r>
      <w:r w:rsidR="004F33C9" w:rsidRPr="004F33C9">
        <w:rPr>
          <w:rFonts w:ascii="Arial" w:hAnsi="Arial" w:cs="Arial" w:hint="eastAsia"/>
          <w:sz w:val="20"/>
          <w:szCs w:val="20"/>
        </w:rPr>
        <w:t xml:space="preserve"> plots the </w:t>
      </w:r>
      <w:proofErr w:type="spellStart"/>
      <w:r w:rsidR="004F33C9" w:rsidRPr="004F33C9">
        <w:rPr>
          <w:rFonts w:ascii="Arial" w:hAnsi="Arial" w:cs="Arial"/>
          <w:i/>
          <w:sz w:val="20"/>
          <w:szCs w:val="20"/>
        </w:rPr>
        <w:t>I</w:t>
      </w:r>
      <w:r w:rsidR="004F33C9" w:rsidRPr="004F33C9">
        <w:rPr>
          <w:rFonts w:ascii="Arial" w:hAnsi="Arial" w:cs="Arial"/>
          <w:i/>
          <w:sz w:val="20"/>
          <w:szCs w:val="20"/>
          <w:vertAlign w:val="subscript"/>
        </w:rPr>
        <w:t>c</w:t>
      </w:r>
      <w:proofErr w:type="spellEnd"/>
      <w:r w:rsidR="004F33C9" w:rsidRPr="004F33C9">
        <w:rPr>
          <w:rFonts w:ascii="Arial" w:hAnsi="Arial" w:cs="Arial"/>
          <w:sz w:val="20"/>
          <w:szCs w:val="20"/>
        </w:rPr>
        <w:t xml:space="preserve"> after quenching normalized by the initial </w:t>
      </w:r>
      <w:proofErr w:type="spellStart"/>
      <w:r w:rsidR="004F33C9" w:rsidRPr="004F33C9">
        <w:rPr>
          <w:rFonts w:ascii="Arial" w:hAnsi="Arial" w:cs="Arial"/>
          <w:i/>
          <w:sz w:val="20"/>
          <w:szCs w:val="20"/>
        </w:rPr>
        <w:t>I</w:t>
      </w:r>
      <w:r w:rsidR="004F33C9" w:rsidRPr="004F33C9">
        <w:rPr>
          <w:rFonts w:ascii="Arial" w:hAnsi="Arial" w:cs="Arial"/>
          <w:i/>
          <w:sz w:val="20"/>
          <w:szCs w:val="20"/>
          <w:vertAlign w:val="subscript"/>
        </w:rPr>
        <w:t>c</w:t>
      </w:r>
      <w:proofErr w:type="spellEnd"/>
      <w:r w:rsidR="004F33C9" w:rsidRPr="004F33C9">
        <w:rPr>
          <w:rFonts w:ascii="Arial" w:hAnsi="Arial" w:cs="Arial" w:hint="eastAsia"/>
          <w:sz w:val="20"/>
          <w:szCs w:val="20"/>
          <w:vertAlign w:val="subscript"/>
        </w:rPr>
        <w:t xml:space="preserve"> </w:t>
      </w:r>
      <w:r w:rsidR="004F33C9" w:rsidRPr="004F33C9">
        <w:rPr>
          <w:rFonts w:ascii="Arial" w:hAnsi="Arial" w:cs="Arial"/>
          <w:sz w:val="20"/>
          <w:szCs w:val="20"/>
        </w:rPr>
        <w:t xml:space="preserve">as a function of </w:t>
      </w:r>
      <w:r w:rsidR="004F33C9" w:rsidRPr="004F33C9">
        <w:rPr>
          <w:rFonts w:ascii="Arial" w:hAnsi="Arial" w:cs="Arial" w:hint="eastAsia"/>
          <w:sz w:val="20"/>
          <w:szCs w:val="20"/>
        </w:rPr>
        <w:t xml:space="preserve">local </w:t>
      </w:r>
      <w:r w:rsidR="004F33C9" w:rsidRPr="004F33C9">
        <w:rPr>
          <w:rFonts w:ascii="Arial" w:hAnsi="Arial" w:cs="Arial"/>
          <w:sz w:val="20"/>
          <w:szCs w:val="20"/>
        </w:rPr>
        <w:t xml:space="preserve">peak temperature </w:t>
      </w:r>
      <w:r w:rsidR="004F33C9" w:rsidRPr="004F33C9">
        <w:rPr>
          <w:rFonts w:ascii="Arial" w:hAnsi="Arial" w:cs="Arial"/>
          <w:i/>
          <w:sz w:val="20"/>
          <w:szCs w:val="20"/>
        </w:rPr>
        <w:t>T</w:t>
      </w:r>
      <w:r w:rsidR="004F33C9" w:rsidRPr="004F33C9">
        <w:rPr>
          <w:rFonts w:ascii="Arial" w:hAnsi="Arial" w:cs="Arial"/>
          <w:i/>
          <w:sz w:val="20"/>
          <w:szCs w:val="20"/>
          <w:vertAlign w:val="subscript"/>
        </w:rPr>
        <w:t>max</w:t>
      </w:r>
      <w:r w:rsidR="004F33C9" w:rsidRPr="004F33C9">
        <w:rPr>
          <w:rFonts w:ascii="Arial" w:hAnsi="Arial" w:cs="Arial"/>
          <w:sz w:val="20"/>
          <w:szCs w:val="20"/>
        </w:rPr>
        <w:t xml:space="preserve"> during the quench for </w:t>
      </w:r>
      <w:r w:rsidR="004F33C9">
        <w:rPr>
          <w:rFonts w:ascii="Arial" w:hAnsi="Arial" w:cs="Arial"/>
          <w:sz w:val="20"/>
          <w:szCs w:val="20"/>
        </w:rPr>
        <w:t xml:space="preserve">a Bi-2212 </w:t>
      </w:r>
      <w:r w:rsidR="004F33C9" w:rsidRPr="004F33C9">
        <w:rPr>
          <w:rFonts w:ascii="Arial" w:hAnsi="Arial" w:cs="Arial" w:hint="eastAsia"/>
          <w:sz w:val="20"/>
          <w:szCs w:val="20"/>
        </w:rPr>
        <w:t>barrel</w:t>
      </w:r>
      <w:r w:rsidR="004F33C9" w:rsidRPr="004F33C9">
        <w:rPr>
          <w:rFonts w:ascii="Arial" w:hAnsi="Arial" w:cs="Arial"/>
          <w:sz w:val="20"/>
          <w:szCs w:val="20"/>
        </w:rPr>
        <w:t xml:space="preserve"> </w:t>
      </w:r>
      <w:r w:rsidR="004F33C9">
        <w:rPr>
          <w:rFonts w:ascii="Arial" w:hAnsi="Arial" w:cs="Arial"/>
          <w:sz w:val="20"/>
          <w:szCs w:val="20"/>
        </w:rPr>
        <w:t>tested</w:t>
      </w:r>
      <w:r w:rsidR="004F33C9" w:rsidRPr="004F33C9">
        <w:rPr>
          <w:rFonts w:ascii="Arial" w:hAnsi="Arial" w:cs="Arial" w:hint="eastAsia"/>
          <w:sz w:val="20"/>
          <w:szCs w:val="20"/>
        </w:rPr>
        <w:t xml:space="preserve"> at </w:t>
      </w:r>
      <w:r w:rsidR="004F33C9">
        <w:rPr>
          <w:rFonts w:ascii="Arial" w:hAnsi="Arial" w:cs="Arial"/>
          <w:sz w:val="20"/>
          <w:szCs w:val="20"/>
        </w:rPr>
        <w:t xml:space="preserve">4.2 K, </w:t>
      </w:r>
      <w:r w:rsidR="004F33C9" w:rsidRPr="004F33C9">
        <w:rPr>
          <w:rFonts w:ascii="Arial" w:hAnsi="Arial" w:cs="Arial" w:hint="eastAsia"/>
          <w:sz w:val="20"/>
          <w:szCs w:val="20"/>
        </w:rPr>
        <w:t>15 T</w:t>
      </w:r>
      <w:r w:rsidR="005E1327">
        <w:rPr>
          <w:rFonts w:ascii="Arial" w:hAnsi="Arial" w:cs="Arial"/>
          <w:sz w:val="20"/>
          <w:szCs w:val="20"/>
        </w:rPr>
        <w:t>, for three axial stress levels (0 MPa, 113 MPa, and 135 MPa).</w:t>
      </w:r>
      <w:r w:rsidR="004F33C9" w:rsidRPr="004F33C9">
        <w:rPr>
          <w:rFonts w:ascii="Arial" w:hAnsi="Arial" w:cs="Arial" w:hint="eastAsia"/>
          <w:sz w:val="20"/>
          <w:szCs w:val="20"/>
        </w:rPr>
        <w:t xml:space="preserve"> </w:t>
      </w:r>
      <w:r w:rsidR="005E1327">
        <w:rPr>
          <w:rFonts w:ascii="Arial" w:hAnsi="Arial" w:cs="Arial"/>
          <w:sz w:val="20"/>
          <w:szCs w:val="20"/>
        </w:rPr>
        <w:t xml:space="preserve"> It clearly shows that applying a tensile stress decreases the maximum allowable temperature during a quench.  Without electromagnetic stress, samples </w:t>
      </w:r>
      <w:r w:rsidR="002E4C89">
        <w:rPr>
          <w:rFonts w:ascii="Arial" w:hAnsi="Arial" w:cs="Arial"/>
          <w:sz w:val="20"/>
          <w:szCs w:val="20"/>
        </w:rPr>
        <w:t xml:space="preserve">show irreversible degradation when </w:t>
      </w:r>
      <w:r w:rsidR="002E4C89" w:rsidRPr="002E4C89">
        <w:rPr>
          <w:rFonts w:ascii="Arial" w:hAnsi="Arial" w:cs="Arial"/>
          <w:i/>
          <w:sz w:val="20"/>
          <w:szCs w:val="20"/>
        </w:rPr>
        <w:t>T</w:t>
      </w:r>
      <w:r w:rsidR="002E4C89" w:rsidRPr="002E4C89">
        <w:rPr>
          <w:rFonts w:ascii="Arial" w:hAnsi="Arial" w:cs="Arial"/>
          <w:sz w:val="20"/>
          <w:szCs w:val="20"/>
          <w:vertAlign w:val="subscript"/>
        </w:rPr>
        <w:t>max</w:t>
      </w:r>
      <w:r w:rsidR="002E4C89">
        <w:rPr>
          <w:rFonts w:ascii="Arial" w:hAnsi="Arial" w:cs="Arial"/>
          <w:sz w:val="20"/>
          <w:szCs w:val="20"/>
        </w:rPr>
        <w:t xml:space="preserve"> exceeds</w:t>
      </w:r>
      <w:r w:rsidR="005E1327">
        <w:rPr>
          <w:rFonts w:ascii="Arial" w:hAnsi="Arial" w:cs="Arial"/>
          <w:sz w:val="20"/>
          <w:szCs w:val="20"/>
        </w:rPr>
        <w:t xml:space="preserve"> 450-500 K whereas the limit drops to 246 –</w:t>
      </w:r>
      <w:r w:rsidR="007203A5">
        <w:rPr>
          <w:rFonts w:ascii="Arial" w:hAnsi="Arial" w:cs="Arial"/>
          <w:sz w:val="20"/>
          <w:szCs w:val="20"/>
        </w:rPr>
        <w:t xml:space="preserve"> 2</w:t>
      </w:r>
      <w:r w:rsidR="005E1327">
        <w:rPr>
          <w:rFonts w:ascii="Arial" w:hAnsi="Arial" w:cs="Arial"/>
          <w:sz w:val="20"/>
          <w:szCs w:val="20"/>
        </w:rPr>
        <w:t xml:space="preserve">86 K when an axial stress of 113 MPa was applied.  </w:t>
      </w:r>
      <w:r w:rsidR="004F33C9">
        <w:rPr>
          <w:rFonts w:ascii="Arial" w:hAnsi="Arial" w:cs="Arial"/>
          <w:sz w:val="20"/>
          <w:szCs w:val="20"/>
        </w:rPr>
        <w:t xml:space="preserve">Fig. </w:t>
      </w:r>
      <w:r w:rsidR="005E1327">
        <w:rPr>
          <w:rFonts w:ascii="Arial" w:hAnsi="Arial" w:cs="Arial"/>
          <w:sz w:val="20"/>
          <w:szCs w:val="20"/>
        </w:rPr>
        <w:t>4</w:t>
      </w:r>
      <w:r w:rsidR="004F33C9">
        <w:rPr>
          <w:rFonts w:ascii="Arial" w:hAnsi="Arial" w:cs="Arial"/>
          <w:sz w:val="20"/>
          <w:szCs w:val="20"/>
        </w:rPr>
        <w:t xml:space="preserve"> </w:t>
      </w:r>
      <w:r w:rsidR="005E1327">
        <w:rPr>
          <w:rFonts w:ascii="Arial" w:hAnsi="Arial" w:cs="Arial"/>
          <w:sz w:val="20"/>
          <w:szCs w:val="20"/>
        </w:rPr>
        <w:t xml:space="preserve">summarizes results of measurement at other magnetic fields and stress levels.  All data fall into a curve that shows a consistent behavior.  </w:t>
      </w:r>
      <w:r w:rsidR="00B4767F">
        <w:rPr>
          <w:rFonts w:ascii="Arial" w:hAnsi="Arial" w:cs="Arial"/>
          <w:sz w:val="20"/>
          <w:szCs w:val="20"/>
        </w:rPr>
        <w:t>The dependence of quench degradation limit on axial stress is highly nonlinear.</w:t>
      </w:r>
    </w:p>
    <w:p w14:paraId="25FBBE50" w14:textId="477E3088" w:rsidR="00E1484C" w:rsidRDefault="00E52DF7" w:rsidP="00A776F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EAF8CC" wp14:editId="61A7AF93">
                <wp:simplePos x="0" y="0"/>
                <wp:positionH relativeFrom="column">
                  <wp:posOffset>4276725</wp:posOffset>
                </wp:positionH>
                <wp:positionV relativeFrom="paragraph">
                  <wp:posOffset>328930</wp:posOffset>
                </wp:positionV>
                <wp:extent cx="2168525" cy="2562225"/>
                <wp:effectExtent l="0" t="0" r="3175" b="9525"/>
                <wp:wrapThrough wrapText="bothSides">
                  <wp:wrapPolygon edited="0">
                    <wp:start x="0" y="0"/>
                    <wp:lineTo x="0" y="21520"/>
                    <wp:lineTo x="21442" y="21520"/>
                    <wp:lineTo x="2144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5E27" w14:textId="235C9A39" w:rsidR="00E52DF7" w:rsidRDefault="00E105F5" w:rsidP="008437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2D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(upper left) </w:t>
                            </w:r>
                            <w:proofErr w:type="gramStart"/>
                            <w:r w:rsidR="008159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Engineering</w:t>
                            </w:r>
                            <w:proofErr w:type="gramEnd"/>
                            <w:r w:rsidR="008159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E52D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ritical current density</w:t>
                            </w:r>
                            <w:r w:rsidR="008159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9E1" w:rsidRPr="00A776F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</w:t>
                            </w:r>
                            <w:r w:rsidR="008159E1" w:rsidRPr="00A776F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E</w:t>
                            </w:r>
                            <w:r w:rsidR="00E52D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1 m long </w:t>
                            </w:r>
                            <w:r w:rsidRPr="00DC69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Bi-2212 </w:t>
                            </w:r>
                            <w:r w:rsidR="00E52D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strand</w:t>
                            </w:r>
                            <w:bookmarkStart w:id="0" w:name="_GoBack"/>
                            <w:bookmarkEnd w:id="0"/>
                            <w:r w:rsidR="00E52D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at 4.2 K and up to 31 T. </w:t>
                            </w:r>
                          </w:p>
                          <w:p w14:paraId="00EB65CF" w14:textId="77777777" w:rsidR="00E52DF7" w:rsidRDefault="00E52DF7" w:rsidP="008437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178EF4" w14:textId="40C99EE8" w:rsidR="00E52DF7" w:rsidRDefault="00E52DF7" w:rsidP="008437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7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(upper right) Dependence of </w:t>
                            </w:r>
                            <w:r w:rsidR="001A7AF8" w:rsidRPr="003861B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J</w:t>
                            </w:r>
                            <w:r w:rsidR="001A7AF8" w:rsidRPr="003861B3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7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n-value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 Bi-2212 strands on axial stress at 4.2 K.</w:t>
                            </w:r>
                          </w:p>
                          <w:p w14:paraId="407B96EB" w14:textId="77777777" w:rsidR="00E52DF7" w:rsidRDefault="00E52DF7" w:rsidP="008437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C02EC1" w14:textId="48959F3B" w:rsidR="00E52DF7" w:rsidRPr="00376D2C" w:rsidRDefault="00E52DF7" w:rsidP="00E52D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7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(bottom left) </w:t>
                            </w:r>
                            <w:r w:rsidR="004206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Critical current </w:t>
                            </w:r>
                            <w:proofErr w:type="spellStart"/>
                            <w:r w:rsidRPr="00983B9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983B9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983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after quenching normalized by the initial </w:t>
                            </w:r>
                            <w:proofErr w:type="spellStart"/>
                            <w:r w:rsidRPr="00983B9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Pr="00983B9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983B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versus local peak temperatu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 during the quench at 4.2 K and 15 T for three axial stress levels (0, 113, and 135 MPa</w:t>
                            </w:r>
                            <w:r w:rsidR="00CF30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3C77C3" w14:textId="15CB5673" w:rsidR="00E52DF7" w:rsidRDefault="00E52DF7" w:rsidP="008437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6D212C" w14:textId="621505F1" w:rsidR="00E105F5" w:rsidRPr="00376D2C" w:rsidRDefault="00E52DF7" w:rsidP="008437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7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(bottom right)</w:t>
                            </w:r>
                            <w:r w:rsidR="00E105F5" w:rsidRPr="00DC692B">
                              <w:t xml:space="preserve"> </w:t>
                            </w:r>
                            <w:r w:rsidR="004F01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Dependence of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maximum allowable temperature during a quench on axial stress for Bi-2212 strands up to 30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EAF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25.9pt;width:170.75pt;height:20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" stroked="f">
                <v:textbox>
                  <w:txbxContent>
                    <w:p w14:paraId="5D9E5E27" w14:textId="235C9A39" w:rsidR="00E52DF7" w:rsidRDefault="00E105F5" w:rsidP="008437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52D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(upper left) </w:t>
                      </w:r>
                      <w:proofErr w:type="gramStart"/>
                      <w:r w:rsidR="008159E1">
                        <w:rPr>
                          <w:rFonts w:ascii="Arial" w:hAnsi="Arial" w:cs="Arial"/>
                          <w:sz w:val="18"/>
                          <w:szCs w:val="18"/>
                        </w:rPr>
                        <w:t>Engineering</w:t>
                      </w:r>
                      <w:proofErr w:type="gramEnd"/>
                      <w:r w:rsidR="008159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</w:t>
                      </w:r>
                      <w:r w:rsidR="00E52DF7">
                        <w:rPr>
                          <w:rFonts w:ascii="Arial" w:hAnsi="Arial" w:cs="Arial"/>
                          <w:sz w:val="18"/>
                          <w:szCs w:val="18"/>
                        </w:rPr>
                        <w:t>ritical current density</w:t>
                      </w:r>
                      <w:r w:rsidR="008159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159E1" w:rsidRPr="00A776F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J</w:t>
                      </w:r>
                      <w:r w:rsidR="008159E1" w:rsidRPr="00A776FC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E</w:t>
                      </w:r>
                      <w:r w:rsidR="00E52D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1 m long </w:t>
                      </w:r>
                      <w:r w:rsidRPr="00DC692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Bi-2212 </w:t>
                      </w:r>
                      <w:r w:rsidR="00E52D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strands at 4.2 K and up to 31 T. </w:t>
                      </w:r>
                    </w:p>
                    <w:p w14:paraId="00EB65CF" w14:textId="77777777" w:rsidR="00E52DF7" w:rsidRDefault="00E52DF7" w:rsidP="008437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A178EF4" w14:textId="40C99EE8" w:rsidR="00E52DF7" w:rsidRDefault="00E52DF7" w:rsidP="008437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7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(upper right) Dependence of </w:t>
                      </w:r>
                      <w:r w:rsidR="001A7AF8" w:rsidRPr="003861B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J</w:t>
                      </w:r>
                      <w:r w:rsidR="001A7AF8" w:rsidRPr="003861B3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A7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n-value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 Bi-2212 strands on axial stress at 4.2 K.</w:t>
                      </w:r>
                    </w:p>
                    <w:p w14:paraId="407B96EB" w14:textId="77777777" w:rsidR="00E52DF7" w:rsidRDefault="00E52DF7" w:rsidP="008437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C02EC1" w14:textId="48959F3B" w:rsidR="00E52DF7" w:rsidRPr="00376D2C" w:rsidRDefault="00E52DF7" w:rsidP="00E52D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7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(bottom left) </w:t>
                      </w:r>
                      <w:r w:rsidR="004206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Critical current </w:t>
                      </w:r>
                      <w:proofErr w:type="spellStart"/>
                      <w:r w:rsidRPr="00983B9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</w:t>
                      </w:r>
                      <w:r w:rsidRPr="00983B97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bscript"/>
                        </w:rPr>
                        <w:t>c</w:t>
                      </w:r>
                      <w:proofErr w:type="spellEnd"/>
                      <w:r w:rsidRPr="00983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after quenching normalized by the initial </w:t>
                      </w:r>
                      <w:proofErr w:type="spellStart"/>
                      <w:r w:rsidRPr="00983B9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</w:t>
                      </w:r>
                      <w:r w:rsidRPr="00983B97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bscript"/>
                        </w:rPr>
                        <w:t>c</w:t>
                      </w:r>
                      <w:proofErr w:type="spellEnd"/>
                      <w:r w:rsidRPr="00983B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versus local peak temperatu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 during the quench at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4.2 K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 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three axial stress levels (0, 113, and 135 MPa</w:t>
                      </w:r>
                      <w:r w:rsidR="00CF30B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73C77C3" w14:textId="15CB5673" w:rsidR="00E52DF7" w:rsidRDefault="00E52DF7" w:rsidP="008437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6D212C" w14:textId="621505F1" w:rsidR="00E105F5" w:rsidRPr="00376D2C" w:rsidRDefault="00E52DF7" w:rsidP="008437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7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(bottom right)</w:t>
                      </w:r>
                      <w:r w:rsidR="00E105F5" w:rsidRPr="00DC692B">
                        <w:t xml:space="preserve"> </w:t>
                      </w:r>
                      <w:r w:rsidR="004F01A5">
                        <w:rPr>
                          <w:rFonts w:ascii="Arial" w:hAnsi="Arial" w:cs="Arial"/>
                          <w:sz w:val="18"/>
                          <w:szCs w:val="18"/>
                        </w:rPr>
                        <w:t>Dependence of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maximum allowable temperature during a quench on axial stress for Bi-2212 strands up to 30 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1327" w:rsidRPr="005E1327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9744" behindDoc="0" locked="0" layoutInCell="1" allowOverlap="1" wp14:anchorId="5B4F843B" wp14:editId="0B9007EC">
            <wp:simplePos x="0" y="0"/>
            <wp:positionH relativeFrom="column">
              <wp:posOffset>2225675</wp:posOffset>
            </wp:positionH>
            <wp:positionV relativeFrom="paragraph">
              <wp:posOffset>100330</wp:posOffset>
            </wp:positionV>
            <wp:extent cx="1800225" cy="1431290"/>
            <wp:effectExtent l="0" t="0" r="9525" b="0"/>
            <wp:wrapThrough wrapText="bothSides">
              <wp:wrapPolygon edited="0">
                <wp:start x="0" y="0"/>
                <wp:lineTo x="0" y="21274"/>
                <wp:lineTo x="21486" y="21274"/>
                <wp:lineTo x="2148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27" w:rsidRPr="00091842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0528" behindDoc="1" locked="0" layoutInCell="1" allowOverlap="1" wp14:anchorId="27E82AE7" wp14:editId="29B38CF4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857375" cy="1456055"/>
            <wp:effectExtent l="0" t="0" r="9525" b="0"/>
            <wp:wrapTight wrapText="bothSides">
              <wp:wrapPolygon edited="0">
                <wp:start x="0" y="0"/>
                <wp:lineTo x="0" y="21195"/>
                <wp:lineTo x="21489" y="21195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27">
        <w:rPr>
          <w:rFonts w:ascii="Arial" w:hAnsi="Arial" w:cs="Arial"/>
          <w:sz w:val="20"/>
          <w:szCs w:val="20"/>
        </w:rPr>
        <w:t xml:space="preserve"> </w:t>
      </w:r>
    </w:p>
    <w:p w14:paraId="203F958D" w14:textId="101A523C" w:rsidR="00147B1A" w:rsidRDefault="0033512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03946274" wp14:editId="6E91C112">
            <wp:extent cx="1924050" cy="1480185"/>
            <wp:effectExtent l="0" t="0" r="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3C9">
        <w:rPr>
          <w:rFonts w:ascii="Arial" w:hAnsi="Arial" w:cs="Arial"/>
          <w:sz w:val="20"/>
          <w:szCs w:val="20"/>
        </w:rPr>
        <w:t xml:space="preserve">   </w:t>
      </w:r>
      <w:r w:rsidR="00D672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68A8D3EF" wp14:editId="2FD77687">
            <wp:extent cx="1839595" cy="1511935"/>
            <wp:effectExtent l="0" t="0" r="825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25C">
        <w:rPr>
          <w:rFonts w:ascii="Arial" w:hAnsi="Arial" w:cs="Arial"/>
          <w:sz w:val="20"/>
          <w:szCs w:val="20"/>
        </w:rPr>
        <w:t xml:space="preserve"> </w:t>
      </w:r>
    </w:p>
    <w:p w14:paraId="4258FAB8" w14:textId="77777777" w:rsidR="00147B1A" w:rsidRPr="006B3824" w:rsidRDefault="00147B1A" w:rsidP="00147B1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A973D08" w14:textId="77777777" w:rsidR="00147B1A" w:rsidRDefault="00147B1A" w:rsidP="00147B1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470D5417" w14:textId="02902427" w:rsidR="00147B1A" w:rsidRPr="006B3824" w:rsidRDefault="00147B1A" w:rsidP="004F33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E24620">
        <w:rPr>
          <w:rFonts w:ascii="Arial" w:eastAsia="Times New Roman" w:hAnsi="Arial" w:cs="Arial"/>
          <w:sz w:val="20"/>
          <w:szCs w:val="20"/>
          <w:lang w:eastAsia="en-US"/>
        </w:rPr>
        <w:t>Work is</w:t>
      </w:r>
      <w:r w:rsidR="00D6725C" w:rsidRPr="00D6725C">
        <w:rPr>
          <w:rFonts w:ascii="Arial" w:eastAsia="Times New Roman" w:hAnsi="Arial" w:cs="Arial"/>
          <w:sz w:val="20"/>
          <w:szCs w:val="20"/>
          <w:lang w:eastAsia="en-US"/>
        </w:rPr>
        <w:t xml:space="preserve"> supported by </w:t>
      </w:r>
      <w:r w:rsidR="00A004A4">
        <w:rPr>
          <w:rFonts w:ascii="Arial" w:eastAsia="Times New Roman" w:hAnsi="Arial" w:cs="Arial"/>
          <w:sz w:val="20"/>
          <w:szCs w:val="20"/>
          <w:lang w:eastAsia="en-US"/>
        </w:rPr>
        <w:t xml:space="preserve">U.S. </w:t>
      </w:r>
      <w:r w:rsidR="00D6725C" w:rsidRPr="00D6725C">
        <w:rPr>
          <w:rFonts w:ascii="Arial" w:eastAsia="Times New Roman" w:hAnsi="Arial" w:cs="Arial"/>
          <w:sz w:val="20"/>
          <w:szCs w:val="20"/>
          <w:lang w:eastAsia="en-US"/>
        </w:rPr>
        <w:t xml:space="preserve">DOE-OHEP through a DOE Early Career Award to </w:t>
      </w:r>
      <w:r w:rsidR="00A004A4">
        <w:rPr>
          <w:rFonts w:ascii="Arial" w:eastAsia="Times New Roman" w:hAnsi="Arial" w:cs="Arial"/>
          <w:sz w:val="20"/>
          <w:szCs w:val="20"/>
          <w:lang w:eastAsia="en-US"/>
        </w:rPr>
        <w:t>TS</w:t>
      </w:r>
      <w:r w:rsidR="00E24620">
        <w:rPr>
          <w:rFonts w:ascii="Arial" w:eastAsia="Times New Roman" w:hAnsi="Arial" w:cs="Arial"/>
          <w:sz w:val="20"/>
          <w:szCs w:val="20"/>
          <w:lang w:eastAsia="en-US"/>
        </w:rPr>
        <w:t>, with the high field (&gt;15 T) measurements performed at NHMFL, which is supported by NSF through DMR-1157490 and the State of Florida.</w:t>
      </w:r>
    </w:p>
    <w:sectPr w:rsidR="00147B1A" w:rsidRPr="006B3824" w:rsidSect="00450C97">
      <w:headerReference w:type="default" r:id="rId16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6EDE2" w14:textId="77777777" w:rsidR="000816FD" w:rsidRDefault="000816FD">
      <w:r>
        <w:separator/>
      </w:r>
    </w:p>
  </w:endnote>
  <w:endnote w:type="continuationSeparator" w:id="0">
    <w:p w14:paraId="0FD600F7" w14:textId="77777777" w:rsidR="000816FD" w:rsidRDefault="000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D2945" w14:textId="77777777" w:rsidR="000816FD" w:rsidRDefault="000816FD">
      <w:r>
        <w:separator/>
      </w:r>
    </w:p>
  </w:footnote>
  <w:footnote w:type="continuationSeparator" w:id="0">
    <w:p w14:paraId="56D8B126" w14:textId="77777777" w:rsidR="000816FD" w:rsidRDefault="0008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4483" w14:textId="77777777" w:rsidR="00E105F5" w:rsidRDefault="00E105F5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0A0E2E" wp14:editId="4BCEF9C8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BE000" w14:textId="77777777" w:rsidR="00E105F5" w:rsidRPr="00306550" w:rsidRDefault="00E105F5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2D4D5CD5" w14:textId="77777777" w:rsidR="00E105F5" w:rsidRPr="00306550" w:rsidRDefault="00E105F5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0A0E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" stroked="f">
              <v:textbox>
                <w:txbxContent>
                  <w:p w14:paraId="6A7BE000" w14:textId="77777777" w:rsidR="00E105F5" w:rsidRPr="00306550" w:rsidRDefault="00E105F5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2D4D5CD5" w14:textId="77777777" w:rsidR="00E105F5" w:rsidRPr="00306550" w:rsidRDefault="00E105F5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5E513AC2" wp14:editId="6D47FACB">
          <wp:extent cx="518160" cy="629285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363E7"/>
    <w:rsid w:val="0004239A"/>
    <w:rsid w:val="0004292C"/>
    <w:rsid w:val="000558AC"/>
    <w:rsid w:val="000736B9"/>
    <w:rsid w:val="000810A5"/>
    <w:rsid w:val="000816FD"/>
    <w:rsid w:val="00085670"/>
    <w:rsid w:val="00091842"/>
    <w:rsid w:val="000A1716"/>
    <w:rsid w:val="000A59A8"/>
    <w:rsid w:val="000C2DE2"/>
    <w:rsid w:val="000D3516"/>
    <w:rsid w:val="000D3C2B"/>
    <w:rsid w:val="000D4137"/>
    <w:rsid w:val="000E1D4F"/>
    <w:rsid w:val="000E62CE"/>
    <w:rsid w:val="00104A4C"/>
    <w:rsid w:val="00113D92"/>
    <w:rsid w:val="00120180"/>
    <w:rsid w:val="0014131B"/>
    <w:rsid w:val="00141FE9"/>
    <w:rsid w:val="00147B1A"/>
    <w:rsid w:val="00155AD2"/>
    <w:rsid w:val="00167606"/>
    <w:rsid w:val="00172A61"/>
    <w:rsid w:val="001836FA"/>
    <w:rsid w:val="0018419E"/>
    <w:rsid w:val="0018697C"/>
    <w:rsid w:val="00187023"/>
    <w:rsid w:val="001A5F3B"/>
    <w:rsid w:val="001A7AF8"/>
    <w:rsid w:val="001D1872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2E4C89"/>
    <w:rsid w:val="00306550"/>
    <w:rsid w:val="00312C04"/>
    <w:rsid w:val="00334CEB"/>
    <w:rsid w:val="00335126"/>
    <w:rsid w:val="003560D2"/>
    <w:rsid w:val="00363C8F"/>
    <w:rsid w:val="00376D2C"/>
    <w:rsid w:val="00377033"/>
    <w:rsid w:val="00393065"/>
    <w:rsid w:val="003A1FF5"/>
    <w:rsid w:val="003C6493"/>
    <w:rsid w:val="003D5E4D"/>
    <w:rsid w:val="003E04D0"/>
    <w:rsid w:val="003E2F8E"/>
    <w:rsid w:val="003F55A7"/>
    <w:rsid w:val="003F6E7E"/>
    <w:rsid w:val="00410D2C"/>
    <w:rsid w:val="00412C3B"/>
    <w:rsid w:val="00420625"/>
    <w:rsid w:val="00420894"/>
    <w:rsid w:val="00450C97"/>
    <w:rsid w:val="0045788B"/>
    <w:rsid w:val="00486FF9"/>
    <w:rsid w:val="0049187D"/>
    <w:rsid w:val="00491C5D"/>
    <w:rsid w:val="004A227C"/>
    <w:rsid w:val="004F01A5"/>
    <w:rsid w:val="004F160B"/>
    <w:rsid w:val="004F33C9"/>
    <w:rsid w:val="005034C0"/>
    <w:rsid w:val="00511F7E"/>
    <w:rsid w:val="0051521A"/>
    <w:rsid w:val="005173CE"/>
    <w:rsid w:val="0053142A"/>
    <w:rsid w:val="005452B9"/>
    <w:rsid w:val="0057515A"/>
    <w:rsid w:val="00583BC3"/>
    <w:rsid w:val="005A1B84"/>
    <w:rsid w:val="005B0803"/>
    <w:rsid w:val="005C4422"/>
    <w:rsid w:val="005C4667"/>
    <w:rsid w:val="005C5648"/>
    <w:rsid w:val="005E1327"/>
    <w:rsid w:val="005E61AD"/>
    <w:rsid w:val="00600BCA"/>
    <w:rsid w:val="00611558"/>
    <w:rsid w:val="00625028"/>
    <w:rsid w:val="00627F7D"/>
    <w:rsid w:val="00651130"/>
    <w:rsid w:val="006612DC"/>
    <w:rsid w:val="00662CB7"/>
    <w:rsid w:val="00672D41"/>
    <w:rsid w:val="00696964"/>
    <w:rsid w:val="006B3824"/>
    <w:rsid w:val="006C4440"/>
    <w:rsid w:val="006D0A0C"/>
    <w:rsid w:val="006D745E"/>
    <w:rsid w:val="006E2CE0"/>
    <w:rsid w:val="006E4A9F"/>
    <w:rsid w:val="006E5C1C"/>
    <w:rsid w:val="007128B2"/>
    <w:rsid w:val="007203A5"/>
    <w:rsid w:val="007207FF"/>
    <w:rsid w:val="00731C19"/>
    <w:rsid w:val="00734E94"/>
    <w:rsid w:val="0073573D"/>
    <w:rsid w:val="00761BDA"/>
    <w:rsid w:val="00764FB5"/>
    <w:rsid w:val="00774A49"/>
    <w:rsid w:val="007C0813"/>
    <w:rsid w:val="007D3105"/>
    <w:rsid w:val="007D5BE8"/>
    <w:rsid w:val="007E2F28"/>
    <w:rsid w:val="008159E1"/>
    <w:rsid w:val="0084373B"/>
    <w:rsid w:val="00862CB5"/>
    <w:rsid w:val="00880398"/>
    <w:rsid w:val="00883638"/>
    <w:rsid w:val="008A1D84"/>
    <w:rsid w:val="008B05B8"/>
    <w:rsid w:val="008C5788"/>
    <w:rsid w:val="008E5BC5"/>
    <w:rsid w:val="008E5C85"/>
    <w:rsid w:val="008F35CC"/>
    <w:rsid w:val="008F6083"/>
    <w:rsid w:val="009059AF"/>
    <w:rsid w:val="0093524B"/>
    <w:rsid w:val="00937109"/>
    <w:rsid w:val="009648AC"/>
    <w:rsid w:val="00983B97"/>
    <w:rsid w:val="009A39F6"/>
    <w:rsid w:val="009A3F73"/>
    <w:rsid w:val="009B41B2"/>
    <w:rsid w:val="009C318D"/>
    <w:rsid w:val="009C3DF0"/>
    <w:rsid w:val="009C56D5"/>
    <w:rsid w:val="009C7F31"/>
    <w:rsid w:val="009D39A4"/>
    <w:rsid w:val="009E4F1E"/>
    <w:rsid w:val="00A004A4"/>
    <w:rsid w:val="00A07A64"/>
    <w:rsid w:val="00A1227A"/>
    <w:rsid w:val="00A26F69"/>
    <w:rsid w:val="00A30FE4"/>
    <w:rsid w:val="00A4260A"/>
    <w:rsid w:val="00A43CDE"/>
    <w:rsid w:val="00A55035"/>
    <w:rsid w:val="00A553A2"/>
    <w:rsid w:val="00A6304A"/>
    <w:rsid w:val="00A758E6"/>
    <w:rsid w:val="00A776FC"/>
    <w:rsid w:val="00A94FC4"/>
    <w:rsid w:val="00A95C0B"/>
    <w:rsid w:val="00AC0A2C"/>
    <w:rsid w:val="00AC297F"/>
    <w:rsid w:val="00AC3CED"/>
    <w:rsid w:val="00AC4AFE"/>
    <w:rsid w:val="00AD3CDD"/>
    <w:rsid w:val="00AE0031"/>
    <w:rsid w:val="00AE142B"/>
    <w:rsid w:val="00AE5515"/>
    <w:rsid w:val="00AF7C63"/>
    <w:rsid w:val="00B00CDB"/>
    <w:rsid w:val="00B25D4D"/>
    <w:rsid w:val="00B34B22"/>
    <w:rsid w:val="00B45112"/>
    <w:rsid w:val="00B4767F"/>
    <w:rsid w:val="00B5585D"/>
    <w:rsid w:val="00B71405"/>
    <w:rsid w:val="00B75DC9"/>
    <w:rsid w:val="00B94321"/>
    <w:rsid w:val="00B95FCB"/>
    <w:rsid w:val="00B96080"/>
    <w:rsid w:val="00BA00BE"/>
    <w:rsid w:val="00BA7096"/>
    <w:rsid w:val="00BC2D03"/>
    <w:rsid w:val="00BE2257"/>
    <w:rsid w:val="00C02989"/>
    <w:rsid w:val="00C076C7"/>
    <w:rsid w:val="00C13313"/>
    <w:rsid w:val="00C36DD0"/>
    <w:rsid w:val="00C75A17"/>
    <w:rsid w:val="00C81666"/>
    <w:rsid w:val="00C83434"/>
    <w:rsid w:val="00C83EAA"/>
    <w:rsid w:val="00C93F0D"/>
    <w:rsid w:val="00C9693E"/>
    <w:rsid w:val="00CA6625"/>
    <w:rsid w:val="00CB0819"/>
    <w:rsid w:val="00CB1A7C"/>
    <w:rsid w:val="00CB4058"/>
    <w:rsid w:val="00CC5B40"/>
    <w:rsid w:val="00CE3F90"/>
    <w:rsid w:val="00CF2937"/>
    <w:rsid w:val="00CF30B4"/>
    <w:rsid w:val="00D01F6B"/>
    <w:rsid w:val="00D0313F"/>
    <w:rsid w:val="00D07879"/>
    <w:rsid w:val="00D1756D"/>
    <w:rsid w:val="00D34BAA"/>
    <w:rsid w:val="00D65CBB"/>
    <w:rsid w:val="00D6725C"/>
    <w:rsid w:val="00D67B56"/>
    <w:rsid w:val="00D70450"/>
    <w:rsid w:val="00D851F6"/>
    <w:rsid w:val="00DC692B"/>
    <w:rsid w:val="00DD44E5"/>
    <w:rsid w:val="00DE3216"/>
    <w:rsid w:val="00DE561B"/>
    <w:rsid w:val="00DE6D13"/>
    <w:rsid w:val="00E04B24"/>
    <w:rsid w:val="00E07ED9"/>
    <w:rsid w:val="00E105F5"/>
    <w:rsid w:val="00E1484C"/>
    <w:rsid w:val="00E24620"/>
    <w:rsid w:val="00E25473"/>
    <w:rsid w:val="00E411D1"/>
    <w:rsid w:val="00E43BB4"/>
    <w:rsid w:val="00E5095B"/>
    <w:rsid w:val="00E52DF7"/>
    <w:rsid w:val="00E57E61"/>
    <w:rsid w:val="00E60509"/>
    <w:rsid w:val="00E83EF2"/>
    <w:rsid w:val="00EA094B"/>
    <w:rsid w:val="00EA1E33"/>
    <w:rsid w:val="00EB489A"/>
    <w:rsid w:val="00EB515D"/>
    <w:rsid w:val="00F17C5C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1EA0"/>
    <w:rsid w:val="00F935F1"/>
    <w:rsid w:val="00F95583"/>
    <w:rsid w:val="00F96562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46EE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E9AF3A-0E72-4D43-B77E-42B0AAF00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A5443-A9C9-42CC-BB47-B8089AAE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2015-12-21T21:07:00Z</cp:lastPrinted>
  <dcterms:created xsi:type="dcterms:W3CDTF">2016-03-22T13:55:00Z</dcterms:created>
  <dcterms:modified xsi:type="dcterms:W3CDTF">2016-03-22T13:56:00Z</dcterms:modified>
</cp:coreProperties>
</file>