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A0D7E" w14:textId="7EE8AF5C" w:rsidR="00C75A17" w:rsidRPr="00D65CBB" w:rsidRDefault="00C50484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Systematic </w:t>
      </w:r>
      <w:r w:rsidR="00DA6451">
        <w:rPr>
          <w:rFonts w:ascii="Arial" w:hAnsi="Arial" w:cs="Arial"/>
          <w:b/>
        </w:rPr>
        <w:t xml:space="preserve">Pressure Control of Dimensionality </w:t>
      </w:r>
      <w:r>
        <w:rPr>
          <w:rFonts w:ascii="Arial" w:hAnsi="Arial" w:cs="Arial"/>
          <w:b/>
        </w:rPr>
        <w:t>in Cs</w:t>
      </w:r>
      <w:r w:rsidRPr="00C50484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CuBr</w:t>
      </w:r>
      <w:r w:rsidRPr="00C50484">
        <w:rPr>
          <w:rFonts w:ascii="Arial" w:hAnsi="Arial" w:cs="Arial"/>
          <w:b/>
          <w:vertAlign w:val="subscript"/>
        </w:rPr>
        <w:t>4</w:t>
      </w:r>
    </w:p>
    <w:p w14:paraId="19E4779D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CCD7788" w14:textId="1039E0F9" w:rsidR="00A94FC4" w:rsidRPr="006B3824" w:rsidRDefault="00C50484" w:rsidP="00C5048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Tóth</w:t>
      </w:r>
      <w:proofErr w:type="spellEnd"/>
      <w:r>
        <w:rPr>
          <w:rFonts w:ascii="Arial" w:hAnsi="Arial" w:cs="Arial"/>
          <w:sz w:val="20"/>
          <w:szCs w:val="20"/>
        </w:rPr>
        <w:t>, S.</w:t>
      </w:r>
      <w:r w:rsidR="00DA645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C50484">
        <w:rPr>
          <w:rFonts w:ascii="Arial" w:hAnsi="Arial" w:cs="Arial"/>
          <w:sz w:val="20"/>
          <w:szCs w:val="20"/>
          <w:u w:val="single"/>
        </w:rPr>
        <w:t>Rüegg, C.</w:t>
      </w:r>
      <w:r>
        <w:rPr>
          <w:rFonts w:ascii="Arial" w:hAnsi="Arial" w:cs="Arial"/>
          <w:sz w:val="20"/>
          <w:szCs w:val="20"/>
        </w:rPr>
        <w:t xml:space="preserve"> (</w:t>
      </w:r>
      <w:r w:rsidR="003727BD">
        <w:rPr>
          <w:rFonts w:ascii="Arial" w:hAnsi="Arial" w:cs="Arial"/>
          <w:sz w:val="20"/>
          <w:szCs w:val="20"/>
        </w:rPr>
        <w:t>PSI</w:t>
      </w:r>
      <w:r>
        <w:rPr>
          <w:rFonts w:ascii="Arial" w:hAnsi="Arial" w:cs="Arial"/>
          <w:sz w:val="20"/>
          <w:szCs w:val="20"/>
        </w:rPr>
        <w:t>, CH)</w:t>
      </w:r>
      <w:r w:rsidR="00DA645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Rønnow</w:t>
      </w:r>
      <w:proofErr w:type="spellEnd"/>
      <w:r>
        <w:rPr>
          <w:rFonts w:ascii="Arial" w:hAnsi="Arial" w:cs="Arial"/>
          <w:sz w:val="20"/>
          <w:szCs w:val="20"/>
        </w:rPr>
        <w:t xml:space="preserve">, H. (EPFL, CH) and </w:t>
      </w:r>
      <w:proofErr w:type="spellStart"/>
      <w:r>
        <w:rPr>
          <w:rFonts w:ascii="Arial" w:hAnsi="Arial" w:cs="Arial"/>
          <w:sz w:val="20"/>
          <w:szCs w:val="20"/>
        </w:rPr>
        <w:t>Coldea</w:t>
      </w:r>
      <w:proofErr w:type="spellEnd"/>
      <w:r>
        <w:rPr>
          <w:rFonts w:ascii="Arial" w:hAnsi="Arial" w:cs="Arial"/>
          <w:sz w:val="20"/>
          <w:szCs w:val="20"/>
        </w:rPr>
        <w:t>, R. (University of Oxford, UK)</w:t>
      </w:r>
    </w:p>
    <w:p w14:paraId="216F90C6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011B2DA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2073481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7976147F" w14:textId="77777777" w:rsidR="002524EE" w:rsidRPr="006B3824" w:rsidRDefault="006B3824" w:rsidP="00167E6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167E68">
        <w:rPr>
          <w:rFonts w:ascii="Arial" w:hAnsi="Arial" w:cs="Arial"/>
          <w:sz w:val="20"/>
          <w:szCs w:val="20"/>
        </w:rPr>
        <w:t>Cs</w:t>
      </w:r>
      <w:r w:rsidR="00167E68" w:rsidRPr="00167E68">
        <w:rPr>
          <w:rFonts w:ascii="Arial" w:hAnsi="Arial" w:cs="Arial"/>
          <w:sz w:val="20"/>
          <w:szCs w:val="20"/>
          <w:vertAlign w:val="subscript"/>
        </w:rPr>
        <w:t>2</w:t>
      </w:r>
      <w:r w:rsidR="00167E68">
        <w:rPr>
          <w:rFonts w:ascii="Arial" w:hAnsi="Arial" w:cs="Arial"/>
          <w:sz w:val="20"/>
          <w:szCs w:val="20"/>
        </w:rPr>
        <w:t>CuBr</w:t>
      </w:r>
      <w:r w:rsidR="00167E68" w:rsidRPr="00167E68">
        <w:rPr>
          <w:rFonts w:ascii="Arial" w:hAnsi="Arial" w:cs="Arial"/>
          <w:sz w:val="20"/>
          <w:szCs w:val="20"/>
          <w:vertAlign w:val="subscript"/>
        </w:rPr>
        <w:t>4</w:t>
      </w:r>
      <w:r w:rsidR="00167E68">
        <w:rPr>
          <w:rFonts w:ascii="Arial" w:hAnsi="Arial" w:cs="Arial"/>
          <w:sz w:val="20"/>
          <w:szCs w:val="20"/>
        </w:rPr>
        <w:t xml:space="preserve"> is a triangular lattice antiferromagnet of S=1/2 Cu</w:t>
      </w:r>
      <w:r w:rsidR="00167E68" w:rsidRPr="00167E68">
        <w:rPr>
          <w:rFonts w:ascii="Arial" w:hAnsi="Arial" w:cs="Arial"/>
          <w:sz w:val="20"/>
          <w:szCs w:val="20"/>
          <w:vertAlign w:val="superscript"/>
        </w:rPr>
        <w:t>2+</w:t>
      </w:r>
      <w:r w:rsidR="00167E68">
        <w:rPr>
          <w:rFonts w:ascii="Arial" w:hAnsi="Arial" w:cs="Arial"/>
          <w:sz w:val="20"/>
          <w:szCs w:val="20"/>
        </w:rPr>
        <w:t xml:space="preserve"> ions. It develops long range magnetic order at T</w:t>
      </w:r>
      <w:r w:rsidR="00167E68" w:rsidRPr="00167E68">
        <w:rPr>
          <w:rFonts w:ascii="Arial" w:hAnsi="Arial" w:cs="Arial"/>
          <w:sz w:val="20"/>
          <w:szCs w:val="20"/>
          <w:vertAlign w:val="subscript"/>
        </w:rPr>
        <w:t>N</w:t>
      </w:r>
      <w:r w:rsidR="00167E68">
        <w:rPr>
          <w:rFonts w:ascii="Arial" w:hAnsi="Arial" w:cs="Arial"/>
          <w:sz w:val="20"/>
          <w:szCs w:val="20"/>
        </w:rPr>
        <w:t xml:space="preserve">=1.4 K. </w:t>
      </w:r>
      <w:r w:rsidR="003727BD">
        <w:rPr>
          <w:rFonts w:ascii="Arial" w:hAnsi="Arial" w:cs="Arial"/>
          <w:sz w:val="20"/>
          <w:szCs w:val="20"/>
        </w:rPr>
        <w:t>The</w:t>
      </w:r>
      <w:r w:rsidR="00167E68">
        <w:rPr>
          <w:rFonts w:ascii="Arial" w:hAnsi="Arial" w:cs="Arial"/>
          <w:sz w:val="20"/>
          <w:szCs w:val="20"/>
        </w:rPr>
        <w:t xml:space="preserve"> inplane exchange interactions are strongly anisotropic due to the loss of 3</w:t>
      </w:r>
      <w:r w:rsidR="003727BD">
        <w:rPr>
          <w:rFonts w:ascii="Arial" w:hAnsi="Arial" w:cs="Arial"/>
          <w:sz w:val="20"/>
          <w:szCs w:val="20"/>
        </w:rPr>
        <w:t>-</w:t>
      </w:r>
      <w:r w:rsidR="00167E68">
        <w:rPr>
          <w:rFonts w:ascii="Arial" w:hAnsi="Arial" w:cs="Arial"/>
          <w:sz w:val="20"/>
          <w:szCs w:val="20"/>
        </w:rPr>
        <w:t xml:space="preserve">fold symmetry in the triangular plane. The crystal shows a plethora of magnetic phases in external field that is yet to be understand </w:t>
      </w:r>
      <w:r w:rsidR="003727BD">
        <w:rPr>
          <w:rFonts w:ascii="Arial" w:hAnsi="Arial" w:cs="Arial"/>
          <w:sz w:val="20"/>
          <w:szCs w:val="20"/>
        </w:rPr>
        <w:t xml:space="preserve">theoretically </w:t>
      </w:r>
      <w:r w:rsidR="00167E68">
        <w:rPr>
          <w:rFonts w:ascii="Arial" w:hAnsi="Arial" w:cs="Arial"/>
          <w:sz w:val="20"/>
          <w:szCs w:val="20"/>
        </w:rPr>
        <w:t>[1]. We appl</w:t>
      </w:r>
      <w:r w:rsidR="003727BD">
        <w:rPr>
          <w:rFonts w:ascii="Arial" w:hAnsi="Arial" w:cs="Arial"/>
          <w:sz w:val="20"/>
          <w:szCs w:val="20"/>
        </w:rPr>
        <w:t>ied</w:t>
      </w:r>
      <w:r w:rsidR="00167E68">
        <w:rPr>
          <w:rFonts w:ascii="Arial" w:hAnsi="Arial" w:cs="Arial"/>
          <w:sz w:val="20"/>
          <w:szCs w:val="20"/>
        </w:rPr>
        <w:t xml:space="preserve"> pressure to tune the spin Hamiltonian towards a more isotropic triangular lattice by slightly distorting </w:t>
      </w:r>
      <w:r w:rsidR="003727BD">
        <w:rPr>
          <w:rFonts w:ascii="Arial" w:hAnsi="Arial" w:cs="Arial"/>
          <w:sz w:val="20"/>
          <w:szCs w:val="20"/>
        </w:rPr>
        <w:t>the crystal structure and to see how the magnetic phase diagram changes.</w:t>
      </w:r>
    </w:p>
    <w:p w14:paraId="41FD51F5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E3E0DBB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1DA17DBA" w14:textId="77777777" w:rsidR="000975D4" w:rsidRDefault="000975D4" w:rsidP="00DA0CE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 used the 35 T</w:t>
      </w:r>
      <w:r w:rsidR="003727BD">
        <w:rPr>
          <w:rFonts w:ascii="Arial" w:hAnsi="Arial" w:cs="Arial"/>
          <w:sz w:val="20"/>
          <w:szCs w:val="20"/>
        </w:rPr>
        <w:t xml:space="preserve"> magnet</w:t>
      </w:r>
      <w:r w:rsidR="00E4189C">
        <w:rPr>
          <w:rFonts w:ascii="Arial" w:hAnsi="Arial" w:cs="Arial"/>
          <w:sz w:val="20"/>
          <w:szCs w:val="20"/>
        </w:rPr>
        <w:t xml:space="preserve"> (Cell 12) with top loading cryostat (32 mm bore) to measure the magnetization of Cs</w:t>
      </w:r>
      <w:r w:rsidR="00E4189C" w:rsidRPr="00E4189C">
        <w:rPr>
          <w:rFonts w:ascii="Arial" w:hAnsi="Arial" w:cs="Arial"/>
          <w:sz w:val="20"/>
          <w:szCs w:val="20"/>
          <w:vertAlign w:val="subscript"/>
        </w:rPr>
        <w:t>2</w:t>
      </w:r>
      <w:r w:rsidR="00E4189C">
        <w:rPr>
          <w:rFonts w:ascii="Arial" w:hAnsi="Arial" w:cs="Arial"/>
          <w:sz w:val="20"/>
          <w:szCs w:val="20"/>
        </w:rPr>
        <w:t>CuBr</w:t>
      </w:r>
      <w:r w:rsidR="00E4189C" w:rsidRPr="00E4189C">
        <w:rPr>
          <w:rFonts w:ascii="Arial" w:hAnsi="Arial" w:cs="Arial"/>
          <w:sz w:val="20"/>
          <w:szCs w:val="20"/>
          <w:vertAlign w:val="subscript"/>
        </w:rPr>
        <w:t>4</w:t>
      </w:r>
      <w:r w:rsidR="00E4189C">
        <w:rPr>
          <w:rFonts w:ascii="Arial" w:hAnsi="Arial" w:cs="Arial"/>
          <w:sz w:val="20"/>
          <w:szCs w:val="20"/>
        </w:rPr>
        <w:t xml:space="preserve"> as a function of </w:t>
      </w:r>
      <w:r w:rsidR="00DA0CE9">
        <w:rPr>
          <w:rFonts w:ascii="Arial" w:hAnsi="Arial" w:cs="Arial"/>
          <w:sz w:val="20"/>
          <w:szCs w:val="20"/>
        </w:rPr>
        <w:t xml:space="preserve">magnetic field </w:t>
      </w:r>
      <w:r w:rsidR="00E4189C">
        <w:rPr>
          <w:rFonts w:ascii="Arial" w:hAnsi="Arial" w:cs="Arial"/>
          <w:sz w:val="20"/>
          <w:szCs w:val="20"/>
        </w:rPr>
        <w:t xml:space="preserve">and pressure. We used the tunnel diode oscillator to detect the magnetization, the pressure was applied using the piston cylinder cell and the low temperature was </w:t>
      </w:r>
      <w:r w:rsidR="00DA0CE9">
        <w:rPr>
          <w:rFonts w:ascii="Arial" w:hAnsi="Arial" w:cs="Arial"/>
          <w:sz w:val="20"/>
          <w:szCs w:val="20"/>
        </w:rPr>
        <w:t>provided by a He-3 cryostat. To make the magnetization signal more pronounced we measured at the lowest possible temperature which was between 300 mK and 500 mK for different runs</w:t>
      </w:r>
      <w:r w:rsidR="0067541D">
        <w:rPr>
          <w:rFonts w:ascii="Arial" w:hAnsi="Arial" w:cs="Arial"/>
          <w:sz w:val="20"/>
          <w:szCs w:val="20"/>
        </w:rPr>
        <w:t xml:space="preserve"> as it turned out that it is not possible to consistently reach the same temperature after each pressure change.</w:t>
      </w:r>
      <w:r w:rsidR="00DA0CE9">
        <w:rPr>
          <w:rFonts w:ascii="Arial" w:hAnsi="Arial" w:cs="Arial"/>
          <w:sz w:val="20"/>
          <w:szCs w:val="20"/>
        </w:rPr>
        <w:t xml:space="preserve"> We applied </w:t>
      </w:r>
      <w:r w:rsidR="0067541D">
        <w:rPr>
          <w:rFonts w:ascii="Arial" w:hAnsi="Arial" w:cs="Arial"/>
          <w:sz w:val="20"/>
          <w:szCs w:val="20"/>
        </w:rPr>
        <w:t>3.7</w:t>
      </w:r>
      <w:r w:rsidR="00DA0CE9">
        <w:rPr>
          <w:rFonts w:ascii="Arial" w:hAnsi="Arial" w:cs="Arial"/>
          <w:sz w:val="20"/>
          <w:szCs w:val="20"/>
        </w:rPr>
        <w:t>, 8.7, 10.2 and 17.5 kbar</w:t>
      </w:r>
      <w:r w:rsidR="0067541D">
        <w:rPr>
          <w:rFonts w:ascii="Arial" w:hAnsi="Arial" w:cs="Arial"/>
          <w:sz w:val="20"/>
          <w:szCs w:val="20"/>
        </w:rPr>
        <w:t xml:space="preserve"> </w:t>
      </w:r>
      <w:r w:rsidR="003727BD">
        <w:rPr>
          <w:rFonts w:ascii="Arial" w:hAnsi="Arial" w:cs="Arial"/>
          <w:sz w:val="20"/>
          <w:szCs w:val="20"/>
        </w:rPr>
        <w:t xml:space="preserve">consecutively, </w:t>
      </w:r>
      <w:r w:rsidR="0067541D">
        <w:rPr>
          <w:rFonts w:ascii="Arial" w:hAnsi="Arial" w:cs="Arial"/>
          <w:sz w:val="20"/>
          <w:szCs w:val="20"/>
        </w:rPr>
        <w:t>covering the possible pressure range of the cell.</w:t>
      </w:r>
    </w:p>
    <w:p w14:paraId="57610449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FEE5BCE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3644CE45" w14:textId="77777777" w:rsidR="00E25473" w:rsidRDefault="006B3824" w:rsidP="004B1B3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39EE">
        <w:rPr>
          <w:rFonts w:ascii="Arial" w:hAnsi="Arial" w:cs="Arial"/>
          <w:sz w:val="20"/>
          <w:szCs w:val="20"/>
        </w:rPr>
        <w:t xml:space="preserve">The magnetization signal was dominated by a </w:t>
      </w:r>
      <w:r w:rsidR="004B1B33">
        <w:rPr>
          <w:rFonts w:ascii="Arial" w:hAnsi="Arial" w:cs="Arial"/>
          <w:sz w:val="20"/>
          <w:szCs w:val="20"/>
        </w:rPr>
        <w:t xml:space="preserve">smooth background that is dependent on the sample loading. To compare the magnetization of the different pressures, it is easier to compare the derivative the magnetization as a function of external field. The results are shown </w:t>
      </w:r>
      <w:r w:rsidR="003727BD">
        <w:rPr>
          <w:rFonts w:ascii="Arial" w:hAnsi="Arial" w:cs="Arial"/>
          <w:sz w:val="20"/>
          <w:szCs w:val="20"/>
        </w:rPr>
        <w:t>i</w:t>
      </w:r>
      <w:r w:rsidR="004B1B33">
        <w:rPr>
          <w:rFonts w:ascii="Arial" w:hAnsi="Arial" w:cs="Arial"/>
          <w:sz w:val="20"/>
          <w:szCs w:val="20"/>
        </w:rPr>
        <w:t xml:space="preserve">n </w:t>
      </w:r>
      <w:r w:rsidR="004B1B33" w:rsidRPr="003727BD">
        <w:rPr>
          <w:rFonts w:ascii="Arial" w:hAnsi="Arial" w:cs="Arial"/>
          <w:b/>
          <w:sz w:val="20"/>
          <w:szCs w:val="20"/>
        </w:rPr>
        <w:t>Fig.1</w:t>
      </w:r>
      <w:r w:rsidR="004B1B33">
        <w:rPr>
          <w:rFonts w:ascii="Arial" w:hAnsi="Arial" w:cs="Arial"/>
          <w:sz w:val="20"/>
          <w:szCs w:val="20"/>
        </w:rPr>
        <w:t>. The peaks in the derivative define transition</w:t>
      </w:r>
      <w:r w:rsidR="003727BD">
        <w:rPr>
          <w:rFonts w:ascii="Arial" w:hAnsi="Arial" w:cs="Arial"/>
          <w:sz w:val="20"/>
          <w:szCs w:val="20"/>
        </w:rPr>
        <w:t>s</w:t>
      </w:r>
      <w:r w:rsidR="004B1B33">
        <w:rPr>
          <w:rFonts w:ascii="Arial" w:hAnsi="Arial" w:cs="Arial"/>
          <w:sz w:val="20"/>
          <w:szCs w:val="20"/>
        </w:rPr>
        <w:t xml:space="preserve"> between different </w:t>
      </w:r>
      <w:r w:rsidR="003727BD">
        <w:rPr>
          <w:rFonts w:ascii="Arial" w:hAnsi="Arial" w:cs="Arial"/>
          <w:sz w:val="20"/>
          <w:szCs w:val="20"/>
        </w:rPr>
        <w:t xml:space="preserve">magnetic </w:t>
      </w:r>
      <w:r w:rsidR="004B1B33">
        <w:rPr>
          <w:rFonts w:ascii="Arial" w:hAnsi="Arial" w:cs="Arial"/>
          <w:sz w:val="20"/>
          <w:szCs w:val="20"/>
        </w:rPr>
        <w:t>phases. The most prominent transition is at 30 T at 3.7 kbar. This corresponds to the saturation field H</w:t>
      </w:r>
      <w:r w:rsidR="004B1B33" w:rsidRPr="004B1B33">
        <w:rPr>
          <w:rFonts w:ascii="Arial" w:hAnsi="Arial" w:cs="Arial"/>
          <w:sz w:val="20"/>
          <w:szCs w:val="20"/>
          <w:vertAlign w:val="subscript"/>
        </w:rPr>
        <w:t>S</w:t>
      </w:r>
      <w:r w:rsidR="004B1B33">
        <w:rPr>
          <w:rFonts w:ascii="Arial" w:hAnsi="Arial" w:cs="Arial"/>
          <w:sz w:val="20"/>
          <w:szCs w:val="20"/>
        </w:rPr>
        <w:t xml:space="preserve"> (28.5 T at ambient pressure [1]). The saturation field increases with increasing pressure as one would expect, </w:t>
      </w:r>
      <w:r w:rsidR="003727BD">
        <w:rPr>
          <w:rFonts w:ascii="Arial" w:hAnsi="Arial" w:cs="Arial"/>
          <w:sz w:val="20"/>
          <w:szCs w:val="20"/>
        </w:rPr>
        <w:t xml:space="preserve">which </w:t>
      </w:r>
      <w:r w:rsidR="004B1B33">
        <w:rPr>
          <w:rFonts w:ascii="Arial" w:hAnsi="Arial" w:cs="Arial"/>
          <w:sz w:val="20"/>
          <w:szCs w:val="20"/>
        </w:rPr>
        <w:t>reflects the general increase of the exchange coupling</w:t>
      </w:r>
      <w:r w:rsidR="003727BD">
        <w:rPr>
          <w:rFonts w:ascii="Arial" w:hAnsi="Arial" w:cs="Arial"/>
          <w:sz w:val="20"/>
          <w:szCs w:val="20"/>
        </w:rPr>
        <w:t>s</w:t>
      </w:r>
      <w:r w:rsidR="004B1B33">
        <w:rPr>
          <w:rFonts w:ascii="Arial" w:hAnsi="Arial" w:cs="Arial"/>
          <w:sz w:val="20"/>
          <w:szCs w:val="20"/>
        </w:rPr>
        <w:t xml:space="preserve"> in the compressed crystal</w:t>
      </w:r>
      <w:r w:rsidR="003727BD">
        <w:rPr>
          <w:rFonts w:ascii="Arial" w:hAnsi="Arial" w:cs="Arial"/>
          <w:sz w:val="20"/>
          <w:szCs w:val="20"/>
        </w:rPr>
        <w:t xml:space="preserve"> as a function of pressure</w:t>
      </w:r>
      <w:r w:rsidR="004B1B33">
        <w:rPr>
          <w:rFonts w:ascii="Arial" w:hAnsi="Arial" w:cs="Arial"/>
          <w:sz w:val="20"/>
          <w:szCs w:val="20"/>
        </w:rPr>
        <w:t>.  Moreover, several new magnetic transition becomes visible with increasing pressure. The new transitions reveal that the magnetic phase diagram is sensitive to pressure. Surprisingly the 1/3 magnetization plateau disappears already at 3.7 kbar pressure</w:t>
      </w:r>
      <w:r w:rsidR="003727BD">
        <w:rPr>
          <w:rFonts w:ascii="Arial" w:hAnsi="Arial" w:cs="Arial"/>
          <w:sz w:val="20"/>
          <w:szCs w:val="20"/>
        </w:rPr>
        <w:t xml:space="preserve">. </w:t>
      </w:r>
      <w:r w:rsidR="004B1B33">
        <w:rPr>
          <w:rFonts w:ascii="Arial" w:hAnsi="Arial" w:cs="Arial"/>
          <w:sz w:val="20"/>
          <w:szCs w:val="20"/>
        </w:rPr>
        <w:t xml:space="preserve">To determine the nature of the different phase further studies </w:t>
      </w:r>
      <w:r w:rsidR="003727BD">
        <w:rPr>
          <w:rFonts w:ascii="Arial" w:hAnsi="Arial" w:cs="Arial"/>
          <w:sz w:val="20"/>
          <w:szCs w:val="20"/>
        </w:rPr>
        <w:t>are necessary.</w:t>
      </w:r>
    </w:p>
    <w:p w14:paraId="08A9FE24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C877315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7356DBD2" w14:textId="77777777"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167E68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63BF66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568DC02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42CD059A" w14:textId="77777777" w:rsidR="00167E68" w:rsidRDefault="00167E6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[1]</w:t>
      </w:r>
      <w:r>
        <w:rPr>
          <w:rFonts w:ascii="Arial" w:hAnsi="Arial" w:cs="Arial"/>
          <w:sz w:val="20"/>
          <w:szCs w:val="20"/>
        </w:rPr>
        <w:tab/>
      </w:r>
      <w:r w:rsidRPr="00167E68">
        <w:rPr>
          <w:rFonts w:ascii="Arial" w:hAnsi="Arial" w:cs="Arial"/>
          <w:sz w:val="20"/>
          <w:szCs w:val="20"/>
        </w:rPr>
        <w:t xml:space="preserve">N. Fortune, </w:t>
      </w:r>
      <w:r w:rsidRPr="00167E68">
        <w:rPr>
          <w:rFonts w:ascii="Arial" w:hAnsi="Arial" w:cs="Arial"/>
          <w:i/>
          <w:sz w:val="20"/>
          <w:szCs w:val="20"/>
        </w:rPr>
        <w:t>et al.</w:t>
      </w:r>
      <w:r w:rsidRPr="00167E68">
        <w:rPr>
          <w:rFonts w:ascii="Arial" w:hAnsi="Arial" w:cs="Arial"/>
          <w:sz w:val="20"/>
          <w:szCs w:val="20"/>
        </w:rPr>
        <w:t xml:space="preserve">, Phys. Rev. Lett. </w:t>
      </w:r>
      <w:r w:rsidRPr="00167E68">
        <w:rPr>
          <w:rFonts w:ascii="Arial" w:hAnsi="Arial" w:cs="Arial"/>
          <w:b/>
          <w:bCs/>
          <w:sz w:val="20"/>
          <w:szCs w:val="20"/>
        </w:rPr>
        <w:t>102</w:t>
      </w:r>
      <w:r w:rsidRPr="00167E68">
        <w:rPr>
          <w:rFonts w:ascii="Arial" w:hAnsi="Arial" w:cs="Arial"/>
          <w:sz w:val="20"/>
          <w:szCs w:val="20"/>
        </w:rPr>
        <w:t>, 257201 (2009).</w:t>
      </w:r>
      <w:r w:rsidRPr="00167E6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14:paraId="4E5CCCB8" w14:textId="77777777" w:rsidR="00F908F6" w:rsidRPr="006B3824" w:rsidRDefault="003727B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19342" wp14:editId="705B15FA">
                <wp:simplePos x="0" y="0"/>
                <wp:positionH relativeFrom="column">
                  <wp:posOffset>4127500</wp:posOffset>
                </wp:positionH>
                <wp:positionV relativeFrom="paragraph">
                  <wp:posOffset>198120</wp:posOffset>
                </wp:positionV>
                <wp:extent cx="2286000" cy="1381125"/>
                <wp:effectExtent l="0" t="0" r="0" b="0"/>
                <wp:wrapThrough wrapText="bothSides">
                  <wp:wrapPolygon edited="0">
                    <wp:start x="0" y="0"/>
                    <wp:lineTo x="0" y="21054"/>
                    <wp:lineTo x="21360" y="21054"/>
                    <wp:lineTo x="2136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3CF9F" w14:textId="77777777" w:rsidR="00376D2C" w:rsidRPr="00376D2C" w:rsidRDefault="00376D2C" w:rsidP="003727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7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Field derivative of the magnetization of Cs</w:t>
                            </w:r>
                            <w:r w:rsidR="003727BD" w:rsidRPr="003727B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3727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CuBr</w:t>
                            </w:r>
                            <w:r w:rsidR="003727BD" w:rsidRPr="003727B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="003727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measured at different pressures. Red and blue lines correspond to up and down field sweeps respectively.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6193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25pt;margin-top:15.6pt;width:180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kkocCAAAQBQAADgAAAGRycy9lMm9Eb2MueG1srFRtb9sgEP4+af8B8T31y5w0tupUTbpMk7oX&#10;qd0PIIBjNAwMSOyu2n/fgZM03TRpmpYPDnDHc3fPPcfV9dBJtOfWCa1qnF2kGHFFNRNqW+MvD+vJ&#10;HCPniWJEasVr/Mgdvl68fnXVm4rnutWScYsARLmqNzVuvTdVkjja8o64C224AmOjbUc8bO02YZb0&#10;gN7JJE/TWdJry4zVlDsHp7ejES8iftNw6j81jeMeyRpDbj5+bfxuwjdZXJFqa4lpBT2kQf4hi44I&#10;BUFPULfEE7Sz4jeoTlCrnW78BdVdoptGUB5rgGqy9Jdq7ltieKwFyHHmRJP7f7D04/6zRYLVuMBI&#10;kQ5a9MAHj5Z6QHlgpzeuAqd7A25+gGPocqzUmTtNvzqk9KolastvrNV9ywmD7LJwMzm7OuK4ALLp&#10;P2gGYcjO6wg0NLYL1AEZCNChS4+nzoRUKBzm+XyWpmCiYMvezLMsn8YYpDpeN9b5d1x3KCxqbKH1&#10;EZ7s75wP6ZDq6BKiOS0FWwsp48ZuNytp0Z6ATNbxd0B/4SZVcFY6XBsRxxPIEmIEW8g3tv2pzPIi&#10;XeblZD2bX06KdTGdlJfpfJJm5bKcpUVZ3K5/hASzomoFY1zdCcWPEsyKv2vxYRhG8UQRor7G5RTY&#10;iXX9sUggM/A5VvGiyE54mEgpuhrPT06kCp19qxhcIJUnQo7r5GX6kWXg4PgfWYk6CK0fReCHzQAo&#10;QRwbzR5BEVZDv6C38IzAotX2O0Y9jGSN3bcdsRwj+V6BqsqsKMIMx00xvcxhY88tm3MLURSgauwx&#10;GpcrP879zlixbSHSqGOlb0CJjYgaec7qoF8Yu1jM4YkIc32+j17PD9niJwAAAP//AwBQSwMEFAAG&#10;AAgAAAAhAECXswXfAAAACwEAAA8AAABkcnMvZG93bnJldi54bWxMj0FPg0AQhe8m/ofNmHgxdgFb&#10;qMjQqInGa2t/wMBOgcjuEnZb6L93OenxzXt5871iN+teXHh0nTUI8SoCwaa2qjMNwvH743ELwnky&#10;inprGOHKDnbl7U1BubKT2fPl4BsRSozLCaH1fsildHXLmtzKDmyCd7KjJh/k2Eg10hTKdS+TKEql&#10;ps6EDy0N/N5y/XM4a4TT1/SweZ6qT3/M9uv0jbqsslfE+7v59QWE59n/hWHBD+hQBqbKno1yokdI&#10;N1HY4hGe4gTEEoji5VIhJOttBrIs5P8N5S8AAAD//wMAUEsBAi0AFAAGAAgAAAAhAOSZw8D7AAAA&#10;4QEAABMAAAAAAAAAAAAAAAAAAAAAAFtDb250ZW50X1R5cGVzXS54bWxQSwECLQAUAAYACAAAACEA&#10;I7Jq4dcAAACUAQAACwAAAAAAAAAAAAAAAAAsAQAAX3JlbHMvLnJlbHNQSwECLQAUAAYACAAAACEA&#10;uVykkocCAAAQBQAADgAAAAAAAAAAAAAAAAAsAgAAZHJzL2Uyb0RvYy54bWxQSwECLQAUAAYACAAA&#10;ACEAQJezBd8AAAALAQAADwAAAAAAAAAAAAAAAADfBAAAZHJzL2Rvd25yZXYueG1sUEsFBgAAAAAE&#10;AAQA8wAAAOsFAAAAAA==&#10;" stroked="f">
                <v:textbox>
                  <w:txbxContent>
                    <w:p w14:paraId="71C3CF9F" w14:textId="77777777" w:rsidR="00376D2C" w:rsidRPr="00376D2C" w:rsidRDefault="00376D2C" w:rsidP="003727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727BD">
                        <w:rPr>
                          <w:rFonts w:ascii="Arial" w:hAnsi="Arial" w:cs="Arial"/>
                          <w:sz w:val="18"/>
                          <w:szCs w:val="18"/>
                        </w:rPr>
                        <w:t>Field derivative of the magnetization of Cs</w:t>
                      </w:r>
                      <w:r w:rsidR="003727BD" w:rsidRPr="003727BD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3727BD">
                        <w:rPr>
                          <w:rFonts w:ascii="Arial" w:hAnsi="Arial" w:cs="Arial"/>
                          <w:sz w:val="18"/>
                          <w:szCs w:val="18"/>
                        </w:rPr>
                        <w:t>CuBr</w:t>
                      </w:r>
                      <w:r w:rsidR="003727BD" w:rsidRPr="003727BD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="003727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measured at different pressures. Red and blue lines correspond to up and down field sweeps respectively.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727BD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7C59976" wp14:editId="129D0F53">
            <wp:extent cx="3758680" cy="2816088"/>
            <wp:effectExtent l="0" t="0" r="0" b="381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13" cy="282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8F6" w:rsidRPr="006B3824" w:rsidSect="00450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45B7" w14:textId="77777777" w:rsidR="00BC7ADF" w:rsidRDefault="00BC7ADF">
      <w:r>
        <w:separator/>
      </w:r>
    </w:p>
  </w:endnote>
  <w:endnote w:type="continuationSeparator" w:id="0">
    <w:p w14:paraId="6AC9B658" w14:textId="77777777" w:rsidR="00BC7ADF" w:rsidRDefault="00B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472E5" w14:textId="77777777"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D4C3" w14:textId="77777777"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43123" w14:textId="77777777"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0B44" w14:textId="77777777" w:rsidR="00BC7ADF" w:rsidRDefault="00BC7ADF">
      <w:r>
        <w:separator/>
      </w:r>
    </w:p>
  </w:footnote>
  <w:footnote w:type="continuationSeparator" w:id="0">
    <w:p w14:paraId="0A223E0E" w14:textId="77777777" w:rsidR="00BC7ADF" w:rsidRDefault="00BC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4A06" w14:textId="77777777"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D0FE" w14:textId="77777777" w:rsidR="00F974C6" w:rsidRDefault="003727B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A3315" wp14:editId="09466F8B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F4206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2434A26B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3BA3315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5r9IM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kN1euMqcLo34OYH2AaWY6bO3Gn6xSGlb1qiNvzKWt23nDCILgsnk5OjI44LIOv+&#10;vWZwDdl6HYGGxnahdFAMBOjA0uORmRAKhc3zxXw2m08xomAr8jKfReoSUh1OG+v8W647FCY1tsB8&#10;RCe7O+dDNKQ6uITLnJaCrYSUcWE36xtp0Y6ASlbxiwm8cJMqOCsdjo2I4w4ECXcEWwg3sv5UZnmR&#10;XuflZDVbzCfFqphOynm6mKRZeV3O0qIsblffQ4BZUbWCMa7uhOIHBWbF3zG874VRO1GDqK9xOc2n&#10;I0V/TDKN3++S7ISHhpSiq/Hi6ESqQOwbxSBtUnki5DhPfg4/VhlqcPjHqkQZBOZHDfhhPQBK0MZa&#10;s0cQhNXAF7AOrwhMWm2/YdRDR9bYfd0SyzGS7xSIqsyKIrRwXBTTeQ4Le2pZn1qIogBVY4/ROL3x&#10;Y9tvjRWbFm4aZaz0FQixEVEjz1Ht5QtdF5PZvxChrU/X0ev5HVv+AAAA//8DAFBLAwQUAAYACAAA&#10;ACEAFrt9fd0AAAAJAQAADwAAAGRycy9kb3ducmV2LnhtbEyPzU7DMBCE70i8g7WVuCBqg9rmhzgV&#10;IIG49ucBnHibRI3XUew26duznOA2ox3NflNsZ9eLK46h86ThealAINXedtRoOB4+n1IQIRqypveE&#10;Gm4YYFve3xUmt36iHV73sRFcQiE3GtoYh1zKULfoTFj6AYlvJz86E9mOjbSjmbjc9fJFqY10piP+&#10;0JoBP1qsz/uL03D6nh7X2VR9xWOyW23eTZdU/qb1w2J+ewURcY5/YfjFZ3QomanyF7JB9OzTjLdE&#10;FmoFggNJlq1BVCxSBbIs5P8F5Q8AAAD//wMAUEsBAi0AFAAGAAgAAAAhAOSZw8D7AAAA4QEAABMA&#10;AAAAAAAAAAAAAAAAAAAAAFtDb250ZW50X1R5cGVzXS54bWxQSwECLQAUAAYACAAAACEAI7Jq4dcA&#10;AACUAQAACwAAAAAAAAAAAAAAAAAsAQAAX3JlbHMvLnJlbHNQSwECLQAUAAYACAAAACEAKc5r9IMC&#10;AAAPBQAADgAAAAAAAAAAAAAAAAAsAgAAZHJzL2Uyb0RvYy54bWxQSwECLQAUAAYACAAAACEAFrt9&#10;fd0AAAAJAQAADwAAAAAAAAAAAAAAAADbBAAAZHJzL2Rvd25yZXYueG1sUEsFBgAAAAAEAAQA8wAA&#10;AOUFAAAAAA==&#10;" stroked="f">
              <v:textbox>
                <w:txbxContent>
                  <w:p w14:paraId="221F4206" w14:textId="77777777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2434A26B" w14:textId="77777777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6E31E2D6" wp14:editId="0AD8268E">
          <wp:extent cx="518795" cy="626110"/>
          <wp:effectExtent l="0" t="0" r="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F1F32" w14:textId="77777777"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2E2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75D4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5AD2"/>
    <w:rsid w:val="00167606"/>
    <w:rsid w:val="00167E68"/>
    <w:rsid w:val="001836FA"/>
    <w:rsid w:val="0018419E"/>
    <w:rsid w:val="0018697C"/>
    <w:rsid w:val="00187023"/>
    <w:rsid w:val="001A08A5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27BD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B1B33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7541D"/>
    <w:rsid w:val="00695065"/>
    <w:rsid w:val="006970EA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A248C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D39EE"/>
    <w:rsid w:val="009E4F1E"/>
    <w:rsid w:val="00A1227A"/>
    <w:rsid w:val="00A43CDE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C7ADF"/>
    <w:rsid w:val="00BE2257"/>
    <w:rsid w:val="00C02989"/>
    <w:rsid w:val="00C076C7"/>
    <w:rsid w:val="00C13313"/>
    <w:rsid w:val="00C50484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A0CE9"/>
    <w:rsid w:val="00DA6451"/>
    <w:rsid w:val="00DD44E5"/>
    <w:rsid w:val="00DE3216"/>
    <w:rsid w:val="00E04B24"/>
    <w:rsid w:val="00E07ED9"/>
    <w:rsid w:val="00E16CD8"/>
    <w:rsid w:val="00E25473"/>
    <w:rsid w:val="00E411D1"/>
    <w:rsid w:val="00E4189C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863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rsid w:val="0016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rsid w:val="0016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2015-07-15T14:10:00Z</cp:lastPrinted>
  <dcterms:created xsi:type="dcterms:W3CDTF">2016-03-24T18:55:00Z</dcterms:created>
  <dcterms:modified xsi:type="dcterms:W3CDTF">2016-03-24T18:56:00Z</dcterms:modified>
</cp:coreProperties>
</file>