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BB0FEF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Test Plans Based on Finite Element Analysis </w:t>
      </w:r>
      <w:r w:rsidR="00E42407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</w:t>
      </w:r>
      <w:r w:rsidR="00C9054D">
        <w:rPr>
          <w:rFonts w:ascii="Arial" w:hAnsi="Arial" w:cs="Arial"/>
          <w:b/>
        </w:rPr>
        <w:t>Bi-2212</w:t>
      </w:r>
      <w:r>
        <w:rPr>
          <w:rFonts w:ascii="Arial" w:hAnsi="Arial" w:cs="Arial"/>
          <w:b/>
        </w:rPr>
        <w:t xml:space="preserve"> </w:t>
      </w:r>
      <w:r w:rsidR="00C9054D">
        <w:rPr>
          <w:rFonts w:ascii="Arial" w:hAnsi="Arial" w:cs="Arial"/>
          <w:b/>
        </w:rPr>
        <w:t xml:space="preserve">Round Wire </w:t>
      </w:r>
      <w:r>
        <w:rPr>
          <w:rFonts w:ascii="Arial" w:hAnsi="Arial" w:cs="Arial"/>
          <w:b/>
        </w:rPr>
        <w:t>Prototype Coils</w:t>
      </w:r>
    </w:p>
    <w:p w:rsidR="0011172F" w:rsidRDefault="0011172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BB0FE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Bosque, E.S.; Hilton, D.K.; Trociewitz, U.P.; Kim, Y.; Davis, D.; Chen, P.; Miller, G.E.; </w:t>
      </w:r>
      <w:r>
        <w:rPr>
          <w:rFonts w:ascii="Arial" w:hAnsi="Arial" w:cs="Arial"/>
          <w:sz w:val="20"/>
          <w:szCs w:val="20"/>
          <w:u w:val="single"/>
        </w:rPr>
        <w:t>Larbalestier, D.C.</w:t>
      </w:r>
      <w:r w:rsidRPr="006B3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(NHFML)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C9054D" w:rsidP="00B75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Bi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CaCu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8-x</w:t>
      </w:r>
      <w:r>
        <w:rPr>
          <w:rFonts w:ascii="Arial" w:hAnsi="Arial" w:cs="Arial"/>
          <w:sz w:val="20"/>
          <w:szCs w:val="20"/>
        </w:rPr>
        <w:t xml:space="preserve"> (Bi-2212) round </w:t>
      </w:r>
      <w:r w:rsidR="00D36C66">
        <w:rPr>
          <w:rFonts w:ascii="Arial" w:hAnsi="Arial" w:cs="Arial"/>
          <w:sz w:val="20"/>
          <w:szCs w:val="20"/>
        </w:rPr>
        <w:t xml:space="preserve">HTS </w:t>
      </w:r>
      <w:r>
        <w:rPr>
          <w:rFonts w:ascii="Arial" w:hAnsi="Arial" w:cs="Arial"/>
          <w:sz w:val="20"/>
          <w:szCs w:val="20"/>
        </w:rPr>
        <w:t>wire program (</w:t>
      </w:r>
      <w:r w:rsidRPr="00E65C32">
        <w:rPr>
          <w:rFonts w:ascii="Arial" w:hAnsi="Arial" w:cs="Arial"/>
          <w:i/>
          <w:sz w:val="20"/>
          <w:szCs w:val="20"/>
        </w:rPr>
        <w:t>Platypus</w:t>
      </w:r>
      <w:r>
        <w:rPr>
          <w:rFonts w:ascii="Arial" w:hAnsi="Arial" w:cs="Arial"/>
          <w:sz w:val="20"/>
          <w:szCs w:val="20"/>
        </w:rPr>
        <w:t>) at the NHMFL takes full aim toward the lab goal of using high temperature superconductors to develop high field quality magnets beyond 30 T (1</w:t>
      </w:r>
      <w:r w:rsidR="00E42407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 xml:space="preserve"> GHz) for application in NMR</w:t>
      </w:r>
      <w:r w:rsidR="00D87EA4">
        <w:rPr>
          <w:rFonts w:ascii="Arial" w:hAnsi="Arial" w:cs="Arial"/>
          <w:sz w:val="20"/>
          <w:szCs w:val="20"/>
        </w:rPr>
        <w:t xml:space="preserve"> [1]</w:t>
      </w:r>
      <w:r>
        <w:rPr>
          <w:rFonts w:ascii="Arial" w:hAnsi="Arial" w:cs="Arial"/>
          <w:sz w:val="20"/>
          <w:szCs w:val="20"/>
        </w:rPr>
        <w:t>. During the past year,</w:t>
      </w:r>
      <w:r w:rsidR="00BD6580">
        <w:rPr>
          <w:rFonts w:ascii="Arial" w:hAnsi="Arial" w:cs="Arial"/>
          <w:sz w:val="20"/>
          <w:szCs w:val="20"/>
        </w:rPr>
        <w:t xml:space="preserve"> finite element analys</w:t>
      </w:r>
      <w:r w:rsidR="00D87EA4">
        <w:rPr>
          <w:rFonts w:ascii="Arial" w:hAnsi="Arial" w:cs="Arial"/>
          <w:sz w:val="20"/>
          <w:szCs w:val="20"/>
        </w:rPr>
        <w:t>i</w:t>
      </w:r>
      <w:r w:rsidR="00BD6580">
        <w:rPr>
          <w:rFonts w:ascii="Arial" w:hAnsi="Arial" w:cs="Arial"/>
          <w:sz w:val="20"/>
          <w:szCs w:val="20"/>
        </w:rPr>
        <w:t>s contributed to develop</w:t>
      </w:r>
      <w:r w:rsidR="00094196">
        <w:rPr>
          <w:rFonts w:ascii="Arial" w:hAnsi="Arial" w:cs="Arial"/>
          <w:sz w:val="20"/>
          <w:szCs w:val="20"/>
        </w:rPr>
        <w:t xml:space="preserve">ing </w:t>
      </w:r>
      <w:r w:rsidR="00BD6580">
        <w:rPr>
          <w:rFonts w:ascii="Arial" w:hAnsi="Arial" w:cs="Arial"/>
          <w:sz w:val="20"/>
          <w:szCs w:val="20"/>
        </w:rPr>
        <w:t>test plans for several prototype coils</w:t>
      </w:r>
      <w:r w:rsidR="00E65C32">
        <w:rPr>
          <w:rFonts w:ascii="Arial" w:hAnsi="Arial" w:cs="Arial"/>
          <w:sz w:val="20"/>
          <w:szCs w:val="20"/>
        </w:rPr>
        <w:t xml:space="preserve"> (</w:t>
      </w:r>
      <w:r w:rsidR="00E65C32" w:rsidRPr="00E65C32">
        <w:rPr>
          <w:rFonts w:ascii="Arial" w:hAnsi="Arial" w:cs="Arial"/>
          <w:i/>
          <w:sz w:val="20"/>
          <w:szCs w:val="20"/>
        </w:rPr>
        <w:t>Platypups</w:t>
      </w:r>
      <w:r w:rsidR="00E65C32">
        <w:rPr>
          <w:rFonts w:ascii="Arial" w:hAnsi="Arial" w:cs="Arial"/>
          <w:sz w:val="20"/>
          <w:szCs w:val="20"/>
        </w:rPr>
        <w:t>)</w:t>
      </w:r>
      <w:r w:rsidR="00D87EA4">
        <w:rPr>
          <w:rFonts w:ascii="Arial" w:hAnsi="Arial" w:cs="Arial"/>
          <w:sz w:val="20"/>
          <w:szCs w:val="20"/>
        </w:rPr>
        <w:t>,</w:t>
      </w:r>
      <w:r w:rsidR="00094196">
        <w:rPr>
          <w:rFonts w:ascii="Arial" w:hAnsi="Arial" w:cs="Arial"/>
          <w:sz w:val="20"/>
          <w:szCs w:val="20"/>
        </w:rPr>
        <w:t xml:space="preserve"> built to demonstrate</w:t>
      </w:r>
      <w:r w:rsidR="00D87EA4">
        <w:rPr>
          <w:rFonts w:ascii="Arial" w:hAnsi="Arial" w:cs="Arial"/>
          <w:sz w:val="20"/>
          <w:szCs w:val="20"/>
        </w:rPr>
        <w:t xml:space="preserve"> the suitability of </w:t>
      </w:r>
      <w:r w:rsidR="00E64E7B">
        <w:rPr>
          <w:rFonts w:ascii="Arial" w:hAnsi="Arial" w:cs="Arial"/>
          <w:sz w:val="20"/>
          <w:szCs w:val="20"/>
        </w:rPr>
        <w:t>Bi-2212 round wire technology for</w:t>
      </w:r>
      <w:r w:rsidR="00D87EA4">
        <w:rPr>
          <w:rFonts w:ascii="Arial" w:hAnsi="Arial" w:cs="Arial"/>
          <w:sz w:val="20"/>
          <w:szCs w:val="20"/>
        </w:rPr>
        <w:t xml:space="preserve"> high field magnets</w:t>
      </w:r>
      <w:r w:rsidR="00BD6580">
        <w:rPr>
          <w:rFonts w:ascii="Arial" w:hAnsi="Arial" w:cs="Arial"/>
          <w:sz w:val="20"/>
          <w:szCs w:val="20"/>
        </w:rPr>
        <w:t>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FB4399" w:rsidRDefault="006B3824" w:rsidP="00AF38E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03C4">
        <w:rPr>
          <w:rFonts w:ascii="Arial" w:hAnsi="Arial" w:cs="Arial"/>
          <w:sz w:val="20"/>
          <w:szCs w:val="20"/>
        </w:rPr>
        <w:t>COMSOL Multiphysics provide</w:t>
      </w:r>
      <w:r w:rsidR="00D36C66">
        <w:rPr>
          <w:rFonts w:ascii="Arial" w:hAnsi="Arial" w:cs="Arial"/>
          <w:sz w:val="20"/>
          <w:szCs w:val="20"/>
        </w:rPr>
        <w:t>s</w:t>
      </w:r>
      <w:r w:rsidR="005303C4">
        <w:rPr>
          <w:rFonts w:ascii="Arial" w:hAnsi="Arial" w:cs="Arial"/>
          <w:sz w:val="20"/>
          <w:szCs w:val="20"/>
        </w:rPr>
        <w:t xml:space="preserve"> a </w:t>
      </w:r>
      <w:r w:rsidR="000016F2">
        <w:rPr>
          <w:rFonts w:ascii="Arial" w:hAnsi="Arial" w:cs="Arial"/>
          <w:sz w:val="20"/>
          <w:szCs w:val="20"/>
        </w:rPr>
        <w:t>numerical test-bed to evaluate many design ideas and settle</w:t>
      </w:r>
      <w:r w:rsidR="00F554DF">
        <w:rPr>
          <w:rFonts w:ascii="Arial" w:hAnsi="Arial" w:cs="Arial"/>
          <w:sz w:val="20"/>
          <w:szCs w:val="20"/>
        </w:rPr>
        <w:t xml:space="preserve"> on prototype coil parameters. </w:t>
      </w:r>
      <w:r w:rsidR="00AF38EB">
        <w:rPr>
          <w:rFonts w:ascii="Arial" w:hAnsi="Arial" w:cs="Arial"/>
          <w:sz w:val="20"/>
          <w:szCs w:val="20"/>
        </w:rPr>
        <w:t>Detailed</w:t>
      </w:r>
      <w:r w:rsidR="00E65C32">
        <w:rPr>
          <w:rFonts w:ascii="Arial" w:hAnsi="Arial" w:cs="Arial"/>
          <w:sz w:val="20"/>
          <w:szCs w:val="20"/>
        </w:rPr>
        <w:t xml:space="preserve"> wire-by-wire models </w:t>
      </w:r>
      <w:r w:rsidR="00950304">
        <w:rPr>
          <w:rFonts w:ascii="Arial" w:hAnsi="Arial" w:cs="Arial"/>
          <w:sz w:val="20"/>
          <w:szCs w:val="20"/>
        </w:rPr>
        <w:t xml:space="preserve">allow incorporation of full </w:t>
      </w:r>
      <w:r w:rsidR="00E65C32">
        <w:rPr>
          <w:rFonts w:ascii="Arial" w:hAnsi="Arial" w:cs="Arial"/>
          <w:sz w:val="20"/>
          <w:szCs w:val="20"/>
        </w:rPr>
        <w:t xml:space="preserve">material properties for each of </w:t>
      </w:r>
      <w:r w:rsidR="00950304">
        <w:rPr>
          <w:rFonts w:ascii="Arial" w:hAnsi="Arial" w:cs="Arial"/>
          <w:sz w:val="20"/>
          <w:szCs w:val="20"/>
        </w:rPr>
        <w:t xml:space="preserve">the </w:t>
      </w:r>
      <w:r w:rsidR="00E65C32">
        <w:rPr>
          <w:rFonts w:ascii="Arial" w:hAnsi="Arial" w:cs="Arial"/>
          <w:sz w:val="20"/>
          <w:szCs w:val="20"/>
        </w:rPr>
        <w:t xml:space="preserve">several constituents in the </w:t>
      </w:r>
      <w:r w:rsidR="00E65C32">
        <w:rPr>
          <w:rFonts w:ascii="Arial" w:hAnsi="Arial" w:cs="Arial"/>
          <w:i/>
          <w:sz w:val="20"/>
          <w:szCs w:val="20"/>
        </w:rPr>
        <w:t>Platypups</w:t>
      </w:r>
      <w:r w:rsidR="00E65C32">
        <w:rPr>
          <w:rFonts w:ascii="Arial" w:hAnsi="Arial" w:cs="Arial"/>
          <w:sz w:val="20"/>
          <w:szCs w:val="20"/>
        </w:rPr>
        <w:t>. Be</w:t>
      </w:r>
      <w:r w:rsidR="00AF38EB">
        <w:rPr>
          <w:rFonts w:ascii="Arial" w:hAnsi="Arial" w:cs="Arial"/>
          <w:sz w:val="20"/>
          <w:szCs w:val="20"/>
        </w:rPr>
        <w:t>cause the coils operate in a</w:t>
      </w:r>
      <w:r w:rsidR="00536EE1">
        <w:rPr>
          <w:rFonts w:ascii="Arial" w:hAnsi="Arial" w:cs="Arial"/>
          <w:sz w:val="20"/>
          <w:szCs w:val="20"/>
        </w:rPr>
        <w:t xml:space="preserve"> 4.2 K</w:t>
      </w:r>
      <w:r w:rsidR="00AF38EB">
        <w:rPr>
          <w:rFonts w:ascii="Arial" w:hAnsi="Arial" w:cs="Arial"/>
          <w:sz w:val="20"/>
          <w:szCs w:val="20"/>
        </w:rPr>
        <w:t xml:space="preserve"> </w:t>
      </w:r>
      <w:r w:rsidR="00E64E7B">
        <w:rPr>
          <w:rFonts w:ascii="Arial" w:hAnsi="Arial" w:cs="Arial"/>
          <w:sz w:val="20"/>
          <w:szCs w:val="20"/>
        </w:rPr>
        <w:t>LHe</w:t>
      </w:r>
      <w:r w:rsidR="00AF38EB">
        <w:rPr>
          <w:rFonts w:ascii="Arial" w:hAnsi="Arial" w:cs="Arial"/>
          <w:sz w:val="20"/>
          <w:szCs w:val="20"/>
        </w:rPr>
        <w:t xml:space="preserve"> bath</w:t>
      </w:r>
      <w:r w:rsidR="00536EE1">
        <w:rPr>
          <w:rFonts w:ascii="Arial" w:hAnsi="Arial" w:cs="Arial"/>
          <w:sz w:val="20"/>
          <w:szCs w:val="20"/>
        </w:rPr>
        <w:t>,</w:t>
      </w:r>
      <w:r w:rsidR="00E65C32">
        <w:rPr>
          <w:rFonts w:ascii="Arial" w:hAnsi="Arial" w:cs="Arial"/>
          <w:sz w:val="20"/>
          <w:szCs w:val="20"/>
        </w:rPr>
        <w:t xml:space="preserve"> </w:t>
      </w:r>
      <w:r w:rsidR="00AF38EB">
        <w:rPr>
          <w:rFonts w:ascii="Arial" w:hAnsi="Arial" w:cs="Arial"/>
          <w:sz w:val="20"/>
          <w:szCs w:val="20"/>
        </w:rPr>
        <w:t xml:space="preserve">thermal stresses generated </w:t>
      </w:r>
      <w:r w:rsidR="00950304">
        <w:rPr>
          <w:rFonts w:ascii="Arial" w:hAnsi="Arial" w:cs="Arial"/>
          <w:sz w:val="20"/>
          <w:szCs w:val="20"/>
        </w:rPr>
        <w:t xml:space="preserve">by </w:t>
      </w:r>
      <w:r w:rsidR="00AF38EB">
        <w:rPr>
          <w:rFonts w:ascii="Arial" w:hAnsi="Arial" w:cs="Arial"/>
          <w:sz w:val="20"/>
          <w:szCs w:val="20"/>
        </w:rPr>
        <w:t>the many coupled materials</w:t>
      </w:r>
      <w:r w:rsidR="00536EE1">
        <w:rPr>
          <w:rFonts w:ascii="Arial" w:hAnsi="Arial" w:cs="Arial"/>
          <w:sz w:val="20"/>
          <w:szCs w:val="20"/>
        </w:rPr>
        <w:t xml:space="preserve"> </w:t>
      </w:r>
      <w:r w:rsidR="00950304">
        <w:rPr>
          <w:rFonts w:ascii="Arial" w:hAnsi="Arial" w:cs="Arial"/>
          <w:sz w:val="20"/>
          <w:szCs w:val="20"/>
        </w:rPr>
        <w:t>are</w:t>
      </w:r>
      <w:r w:rsidR="00536EE1">
        <w:rPr>
          <w:rFonts w:ascii="Arial" w:hAnsi="Arial" w:cs="Arial"/>
          <w:sz w:val="20"/>
          <w:szCs w:val="20"/>
        </w:rPr>
        <w:t xml:space="preserve"> examined first</w:t>
      </w:r>
      <w:r w:rsidR="00AF38EB">
        <w:rPr>
          <w:rFonts w:ascii="Arial" w:hAnsi="Arial" w:cs="Arial"/>
          <w:sz w:val="20"/>
          <w:szCs w:val="20"/>
        </w:rPr>
        <w:t xml:space="preserve">. Then, electro-mechanical physics </w:t>
      </w:r>
      <w:r w:rsidR="00950304">
        <w:rPr>
          <w:rFonts w:ascii="Arial" w:hAnsi="Arial" w:cs="Arial"/>
          <w:sz w:val="20"/>
          <w:szCs w:val="20"/>
        </w:rPr>
        <w:t>are</w:t>
      </w:r>
      <w:r w:rsidR="00AF38EB">
        <w:rPr>
          <w:rFonts w:ascii="Arial" w:hAnsi="Arial" w:cs="Arial"/>
          <w:sz w:val="20"/>
          <w:szCs w:val="20"/>
        </w:rPr>
        <w:t xml:space="preserve"> superimposed onto </w:t>
      </w:r>
      <w:r w:rsidR="00536EE1">
        <w:rPr>
          <w:rFonts w:ascii="Arial" w:hAnsi="Arial" w:cs="Arial"/>
          <w:sz w:val="20"/>
          <w:szCs w:val="20"/>
        </w:rPr>
        <w:t>the</w:t>
      </w:r>
      <w:r w:rsidR="00AF38EB">
        <w:rPr>
          <w:rFonts w:ascii="Arial" w:hAnsi="Arial" w:cs="Arial"/>
          <w:sz w:val="20"/>
          <w:szCs w:val="20"/>
        </w:rPr>
        <w:t xml:space="preserve"> models</w:t>
      </w:r>
      <w:r w:rsidR="00F554DF">
        <w:rPr>
          <w:rFonts w:ascii="Arial" w:hAnsi="Arial" w:cs="Arial"/>
          <w:sz w:val="20"/>
          <w:szCs w:val="20"/>
        </w:rPr>
        <w:t>. Th</w:t>
      </w:r>
      <w:r w:rsidR="00AF38EB">
        <w:rPr>
          <w:rFonts w:ascii="Arial" w:hAnsi="Arial" w:cs="Arial"/>
          <w:sz w:val="20"/>
          <w:szCs w:val="20"/>
        </w:rPr>
        <w:t>e generated Lo</w:t>
      </w:r>
      <w:r w:rsidR="00F554DF">
        <w:rPr>
          <w:rFonts w:ascii="Arial" w:hAnsi="Arial" w:cs="Arial"/>
          <w:sz w:val="20"/>
          <w:szCs w:val="20"/>
        </w:rPr>
        <w:t xml:space="preserve">rentz forces </w:t>
      </w:r>
      <w:r w:rsidR="00950304">
        <w:rPr>
          <w:rFonts w:ascii="Arial" w:hAnsi="Arial" w:cs="Arial"/>
          <w:sz w:val="20"/>
          <w:szCs w:val="20"/>
        </w:rPr>
        <w:t xml:space="preserve">are </w:t>
      </w:r>
      <w:r w:rsidR="00AF38EB">
        <w:rPr>
          <w:rFonts w:ascii="Arial" w:hAnsi="Arial" w:cs="Arial"/>
          <w:sz w:val="20"/>
          <w:szCs w:val="20"/>
        </w:rPr>
        <w:t xml:space="preserve">coupled with structural mechanics to compute the engineering stresses and strains </w:t>
      </w:r>
      <w:r w:rsidR="00F554DF">
        <w:rPr>
          <w:rFonts w:ascii="Arial" w:hAnsi="Arial" w:cs="Arial"/>
          <w:sz w:val="20"/>
          <w:szCs w:val="20"/>
        </w:rPr>
        <w:t xml:space="preserve">on the individual Bi-2212 wires. The principal task </w:t>
      </w:r>
      <w:r w:rsidR="00950304">
        <w:rPr>
          <w:rFonts w:ascii="Arial" w:hAnsi="Arial" w:cs="Arial"/>
          <w:sz w:val="20"/>
          <w:szCs w:val="20"/>
        </w:rPr>
        <w:t xml:space="preserve">is to </w:t>
      </w:r>
      <w:r w:rsidR="00F554DF">
        <w:rPr>
          <w:rFonts w:ascii="Arial" w:hAnsi="Arial" w:cs="Arial"/>
          <w:sz w:val="20"/>
          <w:szCs w:val="20"/>
        </w:rPr>
        <w:t>determin</w:t>
      </w:r>
      <w:r w:rsidR="00950304">
        <w:rPr>
          <w:rFonts w:ascii="Arial" w:hAnsi="Arial" w:cs="Arial"/>
          <w:sz w:val="20"/>
          <w:szCs w:val="20"/>
        </w:rPr>
        <w:t>e</w:t>
      </w:r>
      <w:r w:rsidR="00F554DF">
        <w:rPr>
          <w:rFonts w:ascii="Arial" w:hAnsi="Arial" w:cs="Arial"/>
          <w:sz w:val="20"/>
          <w:szCs w:val="20"/>
        </w:rPr>
        <w:t xml:space="preserve"> the envelope within which the </w:t>
      </w:r>
      <w:r w:rsidR="00D36C66">
        <w:rPr>
          <w:rFonts w:ascii="Arial" w:hAnsi="Arial" w:cs="Arial"/>
          <w:sz w:val="20"/>
          <w:szCs w:val="20"/>
        </w:rPr>
        <w:t>relatively</w:t>
      </w:r>
      <w:r w:rsidR="00F554DF">
        <w:rPr>
          <w:rFonts w:ascii="Arial" w:hAnsi="Arial" w:cs="Arial"/>
          <w:sz w:val="20"/>
          <w:szCs w:val="20"/>
        </w:rPr>
        <w:t xml:space="preserve"> weak conductor </w:t>
      </w:r>
      <w:r w:rsidR="00950304">
        <w:rPr>
          <w:rFonts w:ascii="Arial" w:hAnsi="Arial" w:cs="Arial"/>
          <w:sz w:val="20"/>
          <w:szCs w:val="20"/>
        </w:rPr>
        <w:t xml:space="preserve">can </w:t>
      </w:r>
      <w:r w:rsidR="00E64E7B">
        <w:rPr>
          <w:rFonts w:ascii="Arial" w:hAnsi="Arial" w:cs="Arial"/>
          <w:sz w:val="20"/>
          <w:szCs w:val="20"/>
        </w:rPr>
        <w:t xml:space="preserve">perform. </w:t>
      </w:r>
      <w:r w:rsidR="00F554DF">
        <w:rPr>
          <w:rFonts w:ascii="Arial" w:hAnsi="Arial" w:cs="Arial"/>
          <w:sz w:val="20"/>
          <w:szCs w:val="20"/>
        </w:rPr>
        <w:t>After successive test</w:t>
      </w:r>
      <w:r w:rsidR="00536EE1">
        <w:rPr>
          <w:rFonts w:ascii="Arial" w:hAnsi="Arial" w:cs="Arial"/>
          <w:sz w:val="20"/>
          <w:szCs w:val="20"/>
        </w:rPr>
        <w:t xml:space="preserve">s in the (now decommissioned) 20 T </w:t>
      </w:r>
      <w:r w:rsidR="00F554DF">
        <w:rPr>
          <w:rFonts w:ascii="Arial" w:hAnsi="Arial" w:cs="Arial"/>
          <w:sz w:val="20"/>
          <w:szCs w:val="20"/>
        </w:rPr>
        <w:t>Cell-4 ultra wide bore resistive magnet, innovative stress management schemes were developed and respective models were updated, providing subsequent prototype test plans.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Default="006B3824" w:rsidP="004A72E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2B1C">
        <w:rPr>
          <w:rFonts w:ascii="Arial" w:hAnsi="Arial" w:cs="Arial"/>
          <w:sz w:val="20"/>
          <w:szCs w:val="20"/>
        </w:rPr>
        <w:t>Fig</w:t>
      </w:r>
      <w:r w:rsidR="004A72E3">
        <w:rPr>
          <w:rFonts w:ascii="Arial" w:hAnsi="Arial" w:cs="Arial"/>
          <w:sz w:val="20"/>
          <w:szCs w:val="20"/>
        </w:rPr>
        <w:t>s</w:t>
      </w:r>
      <w:r w:rsidR="00B32B1C">
        <w:rPr>
          <w:rFonts w:ascii="Arial" w:hAnsi="Arial" w:cs="Arial"/>
          <w:sz w:val="20"/>
          <w:szCs w:val="20"/>
        </w:rPr>
        <w:t>.</w:t>
      </w:r>
      <w:r w:rsidR="004A72E3">
        <w:rPr>
          <w:rFonts w:ascii="Arial" w:hAnsi="Arial" w:cs="Arial"/>
          <w:sz w:val="20"/>
          <w:szCs w:val="20"/>
        </w:rPr>
        <w:t xml:space="preserve"> 1 and 2 illustrate </w:t>
      </w:r>
      <w:r w:rsidR="00965AF2">
        <w:rPr>
          <w:rFonts w:ascii="Arial" w:hAnsi="Arial" w:cs="Arial"/>
          <w:sz w:val="20"/>
          <w:szCs w:val="20"/>
        </w:rPr>
        <w:t xml:space="preserve">the model geometry for </w:t>
      </w:r>
      <w:r w:rsidR="00965AF2" w:rsidRPr="00965AF2">
        <w:rPr>
          <w:rFonts w:ascii="Arial" w:hAnsi="Arial" w:cs="Arial"/>
          <w:i/>
          <w:sz w:val="20"/>
          <w:szCs w:val="20"/>
        </w:rPr>
        <w:t>Platypup3</w:t>
      </w:r>
      <w:r w:rsidR="00965AF2">
        <w:rPr>
          <w:rFonts w:ascii="Arial" w:hAnsi="Arial" w:cs="Arial"/>
          <w:i/>
          <w:sz w:val="20"/>
          <w:szCs w:val="20"/>
        </w:rPr>
        <w:t xml:space="preserve"> </w:t>
      </w:r>
      <w:r w:rsidR="00965AF2" w:rsidRPr="00965AF2">
        <w:rPr>
          <w:rFonts w:ascii="Arial" w:hAnsi="Arial" w:cs="Arial"/>
          <w:sz w:val="20"/>
          <w:szCs w:val="20"/>
        </w:rPr>
        <w:t>and</w:t>
      </w:r>
      <w:r w:rsidR="00965AF2">
        <w:rPr>
          <w:rFonts w:ascii="Arial" w:hAnsi="Arial" w:cs="Arial"/>
          <w:sz w:val="20"/>
          <w:szCs w:val="20"/>
        </w:rPr>
        <w:t xml:space="preserve"> its respective compute</w:t>
      </w:r>
      <w:r w:rsidR="00E64E7B">
        <w:rPr>
          <w:rFonts w:ascii="Arial" w:hAnsi="Arial" w:cs="Arial"/>
          <w:sz w:val="20"/>
          <w:szCs w:val="20"/>
        </w:rPr>
        <w:t xml:space="preserve">d operating envelope. </w:t>
      </w:r>
      <w:r w:rsidR="00965AF2">
        <w:rPr>
          <w:rFonts w:ascii="Arial" w:hAnsi="Arial" w:cs="Arial"/>
          <w:sz w:val="20"/>
          <w:szCs w:val="20"/>
        </w:rPr>
        <w:t>The conductor superconductivity is known to rapidly diminish when put under axial strain</w:t>
      </w:r>
      <w:r w:rsidR="00B32B1C">
        <w:rPr>
          <w:rFonts w:ascii="Arial" w:hAnsi="Arial" w:cs="Arial"/>
          <w:sz w:val="20"/>
          <w:szCs w:val="20"/>
        </w:rPr>
        <w:t>s near 0.6%</w:t>
      </w:r>
      <w:r w:rsidR="00536EE1">
        <w:rPr>
          <w:rFonts w:ascii="Arial" w:hAnsi="Arial" w:cs="Arial"/>
          <w:sz w:val="20"/>
          <w:szCs w:val="20"/>
        </w:rPr>
        <w:t xml:space="preserve"> [2]</w:t>
      </w:r>
      <w:r w:rsidR="00B32B1C">
        <w:rPr>
          <w:rFonts w:ascii="Arial" w:hAnsi="Arial" w:cs="Arial"/>
          <w:sz w:val="20"/>
          <w:szCs w:val="20"/>
        </w:rPr>
        <w:t xml:space="preserve">, which is reflected </w:t>
      </w:r>
      <w:r w:rsidR="0011172F">
        <w:rPr>
          <w:rFonts w:ascii="Arial" w:hAnsi="Arial" w:cs="Arial"/>
          <w:sz w:val="20"/>
          <w:szCs w:val="20"/>
        </w:rPr>
        <w:t>by</w:t>
      </w:r>
      <w:r w:rsidR="00B32B1C">
        <w:rPr>
          <w:rFonts w:ascii="Arial" w:hAnsi="Arial" w:cs="Arial"/>
          <w:sz w:val="20"/>
          <w:szCs w:val="20"/>
        </w:rPr>
        <w:t xml:space="preserve"> the upper-limit </w:t>
      </w:r>
      <w:r w:rsidR="00950304">
        <w:rPr>
          <w:rFonts w:ascii="Arial" w:hAnsi="Arial" w:cs="Arial"/>
          <w:sz w:val="20"/>
          <w:szCs w:val="20"/>
        </w:rPr>
        <w:t xml:space="preserve">cutoff </w:t>
      </w:r>
      <w:r w:rsidR="00B32B1C">
        <w:rPr>
          <w:rFonts w:ascii="Arial" w:hAnsi="Arial" w:cs="Arial"/>
          <w:sz w:val="20"/>
          <w:szCs w:val="20"/>
        </w:rPr>
        <w:t>in Figure 2. The plot was developed by numerically sweeping through operating currents for the coil as well as background fields in the Cell-4 magnet.</w:t>
      </w:r>
    </w:p>
    <w:p w:rsidR="004A72E3" w:rsidRDefault="004A72E3" w:rsidP="004A72E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810"/>
        <w:gridCol w:w="4590"/>
      </w:tblGrid>
      <w:tr w:rsidR="0011172F" w:rsidTr="0011172F">
        <w:trPr>
          <w:trHeight w:val="1940"/>
        </w:trPr>
        <w:tc>
          <w:tcPr>
            <w:tcW w:w="3960" w:type="dxa"/>
            <w:vAlign w:val="center"/>
          </w:tcPr>
          <w:p w:rsidR="0011172F" w:rsidRDefault="0011172F" w:rsidP="00B32B1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1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600EA67" wp14:editId="0C2D2F3D">
                  <wp:extent cx="1828800" cy="698210"/>
                  <wp:effectExtent l="0" t="0" r="0" b="6985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0864" b="71237" l="2737" r="95474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2" t="20804" r="3902" b="28789"/>
                          <a:stretch/>
                        </pic:blipFill>
                        <pic:spPr bwMode="auto">
                          <a:xfrm>
                            <a:off x="0" y="0"/>
                            <a:ext cx="1828800" cy="69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Merge w:val="restart"/>
          </w:tcPr>
          <w:p w:rsidR="0011172F" w:rsidRPr="00B32B1C" w:rsidRDefault="0011172F" w:rsidP="00B32B1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Merge w:val="restart"/>
            <w:vAlign w:val="center"/>
          </w:tcPr>
          <w:p w:rsidR="0011172F" w:rsidRDefault="0011172F" w:rsidP="00B32B1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B1C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C79E504" wp14:editId="2B53AA96">
                  <wp:extent cx="2743200" cy="1864365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6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72F" w:rsidTr="0011172F">
        <w:trPr>
          <w:trHeight w:val="207"/>
        </w:trPr>
        <w:tc>
          <w:tcPr>
            <w:tcW w:w="3960" w:type="dxa"/>
            <w:vMerge w:val="restart"/>
          </w:tcPr>
          <w:p w:rsidR="0011172F" w:rsidRPr="00B32B1C" w:rsidRDefault="0011172F" w:rsidP="0011172F">
            <w:pPr>
              <w:rPr>
                <w:rFonts w:ascii="Arial" w:hAnsi="Arial" w:cs="Arial"/>
                <w:sz w:val="18"/>
                <w:szCs w:val="18"/>
              </w:rPr>
            </w:pPr>
            <w:r w:rsidRPr="00AD3CDD">
              <w:rPr>
                <w:rFonts w:ascii="Arial" w:hAnsi="Arial" w:cs="Arial"/>
                <w:b/>
                <w:sz w:val="18"/>
                <w:szCs w:val="18"/>
              </w:rPr>
              <w:t>Fig.1</w:t>
            </w:r>
            <w:r>
              <w:rPr>
                <w:rFonts w:ascii="Arial" w:hAnsi="Arial" w:cs="Arial"/>
                <w:sz w:val="18"/>
                <w:szCs w:val="18"/>
              </w:rPr>
              <w:t xml:space="preserve"> Geometry of </w:t>
            </w:r>
            <w:r w:rsidRPr="00B32B1C">
              <w:rPr>
                <w:rFonts w:ascii="Arial" w:hAnsi="Arial" w:cs="Arial"/>
                <w:i/>
                <w:sz w:val="18"/>
                <w:szCs w:val="18"/>
              </w:rPr>
              <w:t>Platypup3</w:t>
            </w:r>
            <w:r w:rsidRPr="00B32B1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E7B">
              <w:rPr>
                <w:rFonts w:ascii="Arial" w:hAnsi="Arial" w:cs="Arial"/>
                <w:sz w:val="18"/>
                <w:szCs w:val="18"/>
              </w:rPr>
              <w:t xml:space="preserve">featuring wire-by-wire detail. </w:t>
            </w:r>
            <w:r>
              <w:rPr>
                <w:rFonts w:ascii="Arial" w:hAnsi="Arial" w:cs="Arial"/>
                <w:sz w:val="18"/>
                <w:szCs w:val="18"/>
              </w:rPr>
              <w:t>This prototype coil was wound with 1.3 mm round wire, epoxy impregnated, with an innovative stress/strain management system.</w:t>
            </w:r>
          </w:p>
        </w:tc>
        <w:tc>
          <w:tcPr>
            <w:tcW w:w="810" w:type="dxa"/>
            <w:vMerge/>
          </w:tcPr>
          <w:p w:rsidR="0011172F" w:rsidRDefault="0011172F" w:rsidP="004A72E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11172F" w:rsidRDefault="0011172F" w:rsidP="004A72E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2F" w:rsidTr="0011172F">
        <w:trPr>
          <w:trHeight w:val="230"/>
        </w:trPr>
        <w:tc>
          <w:tcPr>
            <w:tcW w:w="3960" w:type="dxa"/>
            <w:vMerge/>
          </w:tcPr>
          <w:p w:rsidR="0011172F" w:rsidRDefault="0011172F" w:rsidP="004A72E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11172F" w:rsidRPr="00AD3CDD" w:rsidRDefault="0011172F" w:rsidP="00B32B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vAlign w:val="bottom"/>
          </w:tcPr>
          <w:p w:rsidR="0011172F" w:rsidRPr="00B32B1C" w:rsidRDefault="0011172F" w:rsidP="0011172F">
            <w:pPr>
              <w:rPr>
                <w:rFonts w:ascii="Arial" w:hAnsi="Arial" w:cs="Arial"/>
                <w:sz w:val="18"/>
                <w:szCs w:val="18"/>
              </w:rPr>
            </w:pPr>
            <w:r w:rsidRPr="00AD3CDD">
              <w:rPr>
                <w:rFonts w:ascii="Arial" w:hAnsi="Arial" w:cs="Arial"/>
                <w:b/>
                <w:sz w:val="18"/>
                <w:szCs w:val="18"/>
              </w:rPr>
              <w:t>Fig.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The computed operating envelope for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Platypup3</w:t>
            </w:r>
            <w:r>
              <w:rPr>
                <w:rFonts w:ascii="Arial" w:hAnsi="Arial" w:cs="Arial"/>
                <w:sz w:val="18"/>
                <w:szCs w:val="18"/>
              </w:rPr>
              <w:t xml:space="preserve"> prototype coil.</w:t>
            </w:r>
          </w:p>
        </w:tc>
      </w:tr>
    </w:tbl>
    <w:p w:rsidR="00B32B1C" w:rsidRDefault="00B32B1C" w:rsidP="004A72E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2B1C" w:rsidRPr="006B3824" w:rsidRDefault="00B32B1C" w:rsidP="004A72E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  <w:r w:rsidR="00E64E7B">
        <w:rPr>
          <w:rFonts w:ascii="Arial" w:hAnsi="Arial" w:cs="Arial"/>
          <w:sz w:val="20"/>
          <w:szCs w:val="20"/>
        </w:rPr>
        <w:t xml:space="preserve">Successive prototype tests have provided encouraging results. </w:t>
      </w:r>
      <w:r w:rsidR="00536EE1" w:rsidRPr="00536EE1">
        <w:rPr>
          <w:rFonts w:ascii="Arial" w:hAnsi="Arial" w:cs="Arial"/>
          <w:i/>
          <w:sz w:val="20"/>
          <w:szCs w:val="20"/>
        </w:rPr>
        <w:t>Platypup3</w:t>
      </w:r>
      <w:r w:rsidR="00536EE1">
        <w:rPr>
          <w:rFonts w:ascii="Arial" w:hAnsi="Arial" w:cs="Arial"/>
          <w:sz w:val="20"/>
          <w:szCs w:val="20"/>
        </w:rPr>
        <w:t xml:space="preserve"> was operated at a much higher current than the similarly-sized strain-limited </w:t>
      </w:r>
      <w:r w:rsidR="00536EE1" w:rsidRPr="00536EE1">
        <w:rPr>
          <w:rFonts w:ascii="Arial" w:hAnsi="Arial" w:cs="Arial"/>
          <w:i/>
          <w:sz w:val="20"/>
          <w:szCs w:val="20"/>
        </w:rPr>
        <w:t>Platypup1,</w:t>
      </w:r>
      <w:r w:rsidR="00536EE1">
        <w:rPr>
          <w:rFonts w:ascii="Arial" w:hAnsi="Arial" w:cs="Arial"/>
          <w:sz w:val="20"/>
          <w:szCs w:val="20"/>
        </w:rPr>
        <w:t xml:space="preserve"> and the </w:t>
      </w:r>
      <w:r w:rsidR="00536EE1" w:rsidRPr="00536EE1">
        <w:rPr>
          <w:rFonts w:ascii="Arial" w:hAnsi="Arial" w:cs="Arial"/>
          <w:i/>
          <w:sz w:val="20"/>
          <w:szCs w:val="20"/>
        </w:rPr>
        <w:t xml:space="preserve">in-situ </w:t>
      </w:r>
      <w:r w:rsidR="00536EE1">
        <w:rPr>
          <w:rFonts w:ascii="Arial" w:hAnsi="Arial" w:cs="Arial"/>
          <w:sz w:val="20"/>
          <w:szCs w:val="20"/>
        </w:rPr>
        <w:t xml:space="preserve">strain measurements were well predicted by the models. </w:t>
      </w:r>
      <w:r w:rsidR="00D36C66">
        <w:rPr>
          <w:rFonts w:ascii="Arial" w:hAnsi="Arial" w:cs="Arial"/>
          <w:sz w:val="20"/>
          <w:szCs w:val="20"/>
        </w:rPr>
        <w:t>N</w:t>
      </w:r>
      <w:r w:rsidR="00536EE1">
        <w:rPr>
          <w:rFonts w:ascii="Arial" w:hAnsi="Arial" w:cs="Arial"/>
          <w:sz w:val="20"/>
          <w:szCs w:val="20"/>
        </w:rPr>
        <w:t>ew prototype coils are being designed to fit into other</w:t>
      </w:r>
      <w:r w:rsidR="00D36C66">
        <w:rPr>
          <w:rFonts w:ascii="Arial" w:hAnsi="Arial" w:cs="Arial"/>
          <w:sz w:val="20"/>
          <w:szCs w:val="20"/>
        </w:rPr>
        <w:t xml:space="preserve"> available </w:t>
      </w:r>
      <w:r w:rsidR="00536EE1">
        <w:rPr>
          <w:rFonts w:ascii="Arial" w:hAnsi="Arial" w:cs="Arial"/>
          <w:sz w:val="20"/>
          <w:szCs w:val="20"/>
        </w:rPr>
        <w:t xml:space="preserve">outsert magnets to achieve similar operating conditions and </w:t>
      </w:r>
      <w:r w:rsidR="00D36C66">
        <w:rPr>
          <w:rFonts w:ascii="Arial" w:hAnsi="Arial" w:cs="Arial"/>
          <w:sz w:val="20"/>
          <w:szCs w:val="20"/>
        </w:rPr>
        <w:t xml:space="preserve">further </w:t>
      </w:r>
      <w:r w:rsidR="00536EE1">
        <w:rPr>
          <w:rFonts w:ascii="Arial" w:hAnsi="Arial" w:cs="Arial"/>
          <w:sz w:val="20"/>
          <w:szCs w:val="20"/>
        </w:rPr>
        <w:t xml:space="preserve">investigate the </w:t>
      </w:r>
      <w:r w:rsidR="00D36C66">
        <w:rPr>
          <w:rFonts w:ascii="Arial" w:hAnsi="Arial" w:cs="Arial"/>
          <w:sz w:val="20"/>
          <w:szCs w:val="20"/>
        </w:rPr>
        <w:t xml:space="preserve">mechanical performance limits of this </w:t>
      </w:r>
      <w:r w:rsidR="00536EE1">
        <w:rPr>
          <w:rFonts w:ascii="Arial" w:hAnsi="Arial" w:cs="Arial"/>
          <w:sz w:val="20"/>
          <w:szCs w:val="20"/>
        </w:rPr>
        <w:t>conductor</w:t>
      </w:r>
      <w:r w:rsidR="00D36C66">
        <w:rPr>
          <w:rFonts w:ascii="Arial" w:hAnsi="Arial" w:cs="Arial"/>
          <w:sz w:val="20"/>
          <w:szCs w:val="20"/>
        </w:rPr>
        <w:t xml:space="preserve"> technology.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491C5D" w:rsidRDefault="00FB4399" w:rsidP="00BB0FEF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BB0FEF">
        <w:rPr>
          <w:rFonts w:ascii="Arial" w:eastAsia="Times New Roman" w:hAnsi="Arial" w:cs="Arial"/>
          <w:sz w:val="20"/>
          <w:szCs w:val="20"/>
          <w:lang w:eastAsia="en-US"/>
        </w:rPr>
        <w:t>This work is supported by the National Science Foundation under DMR-1157490, by the State of Florida and by a grant from the National Institute of Health under 1 R21 GM111302-01</w:t>
      </w:r>
      <w:r>
        <w:rPr>
          <w:rFonts w:ascii="Arial" w:hAnsi="Arial" w:cs="Arial"/>
          <w:sz w:val="20"/>
          <w:szCs w:val="20"/>
        </w:rPr>
        <w:t>.</w:t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:rsidR="00F908F6" w:rsidRDefault="00BB0FEF" w:rsidP="0011172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r w:rsidR="0011172F">
        <w:rPr>
          <w:rFonts w:ascii="Arial" w:hAnsi="Arial" w:cs="Arial"/>
          <w:sz w:val="20"/>
          <w:szCs w:val="20"/>
        </w:rPr>
        <w:t>D. Larbalestier</w:t>
      </w:r>
      <w:r>
        <w:rPr>
          <w:rFonts w:ascii="Arial" w:hAnsi="Arial" w:cs="Arial"/>
          <w:sz w:val="20"/>
          <w:szCs w:val="20"/>
        </w:rPr>
        <w:t xml:space="preserve">, </w:t>
      </w:r>
      <w:r w:rsidRPr="0011172F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r w:rsidR="0011172F">
        <w:rPr>
          <w:rFonts w:ascii="Arial" w:hAnsi="Arial" w:cs="Arial"/>
          <w:iCs/>
          <w:sz w:val="20"/>
          <w:szCs w:val="20"/>
        </w:rPr>
        <w:t>Nature Materials</w:t>
      </w:r>
      <w:r>
        <w:rPr>
          <w:rFonts w:ascii="Arial" w:hAnsi="Arial" w:cs="Arial"/>
          <w:sz w:val="20"/>
          <w:szCs w:val="20"/>
        </w:rPr>
        <w:t xml:space="preserve">, </w:t>
      </w:r>
      <w:r w:rsidR="0011172F" w:rsidRPr="0011172F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, </w:t>
      </w:r>
      <w:r w:rsidR="0011172F">
        <w:rPr>
          <w:rFonts w:ascii="Arial" w:hAnsi="Arial" w:cs="Arial"/>
          <w:sz w:val="20"/>
          <w:szCs w:val="20"/>
        </w:rPr>
        <w:t>375-381</w:t>
      </w:r>
      <w:r>
        <w:rPr>
          <w:rFonts w:ascii="Arial" w:hAnsi="Arial" w:cs="Arial"/>
          <w:sz w:val="20"/>
          <w:szCs w:val="20"/>
        </w:rPr>
        <w:t xml:space="preserve"> (201</w:t>
      </w:r>
      <w:r w:rsidR="001117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).</w:t>
      </w:r>
      <w:r w:rsidR="0011172F" w:rsidRPr="006B3824">
        <w:rPr>
          <w:rFonts w:ascii="Arial" w:hAnsi="Arial" w:cs="Arial"/>
          <w:sz w:val="20"/>
          <w:szCs w:val="20"/>
        </w:rPr>
        <w:t xml:space="preserve"> </w:t>
      </w:r>
    </w:p>
    <w:p w:rsidR="00E64E7B" w:rsidRPr="006B3824" w:rsidRDefault="0011172F" w:rsidP="00E64E7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 w:rsidR="00E64E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 w:rsidR="00E64E7B">
        <w:rPr>
          <w:rFonts w:ascii="Arial" w:hAnsi="Arial" w:cs="Arial"/>
          <w:sz w:val="20"/>
          <w:szCs w:val="20"/>
        </w:rPr>
        <w:t>Bjoerstad</w:t>
      </w:r>
      <w:r>
        <w:rPr>
          <w:rFonts w:ascii="Arial" w:hAnsi="Arial" w:cs="Arial"/>
          <w:sz w:val="20"/>
          <w:szCs w:val="20"/>
        </w:rPr>
        <w:t xml:space="preserve">, </w:t>
      </w:r>
      <w:r w:rsidRPr="0011172F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 xml:space="preserve">., </w:t>
      </w:r>
      <w:r w:rsidR="00E64E7B">
        <w:rPr>
          <w:rFonts w:ascii="Arial" w:hAnsi="Arial" w:cs="Arial"/>
          <w:iCs/>
          <w:sz w:val="20"/>
          <w:szCs w:val="20"/>
        </w:rPr>
        <w:t>Superconductor Sci. and Tech.</w:t>
      </w:r>
      <w:r>
        <w:rPr>
          <w:rFonts w:ascii="Arial" w:hAnsi="Arial" w:cs="Arial"/>
          <w:sz w:val="20"/>
          <w:szCs w:val="20"/>
        </w:rPr>
        <w:t xml:space="preserve">, </w:t>
      </w:r>
      <w:r w:rsidR="00E64E7B">
        <w:rPr>
          <w:rFonts w:ascii="Arial" w:hAnsi="Arial" w:cs="Arial"/>
          <w:b/>
          <w:sz w:val="20"/>
          <w:szCs w:val="20"/>
        </w:rPr>
        <w:t>28.6</w:t>
      </w:r>
      <w:r>
        <w:rPr>
          <w:rFonts w:ascii="Arial" w:hAnsi="Arial" w:cs="Arial"/>
          <w:sz w:val="20"/>
          <w:szCs w:val="20"/>
        </w:rPr>
        <w:t>, (201</w:t>
      </w:r>
      <w:r w:rsidR="00E64E7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).</w:t>
      </w:r>
    </w:p>
    <w:sectPr w:rsidR="00E64E7B" w:rsidRPr="006B3824" w:rsidSect="00450C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5A" w:rsidRDefault="00B46C5A">
      <w:r>
        <w:separator/>
      </w:r>
    </w:p>
  </w:endnote>
  <w:endnote w:type="continuationSeparator" w:id="0">
    <w:p w:rsidR="00B46C5A" w:rsidRDefault="00B4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5A" w:rsidRDefault="00B46C5A">
      <w:r>
        <w:separator/>
      </w:r>
    </w:p>
  </w:footnote>
  <w:footnote w:type="continuationSeparator" w:id="0">
    <w:p w:rsidR="00B46C5A" w:rsidRDefault="00B4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630D7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7380"/>
          <wp:effectExtent l="0" t="0" r="0" b="127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16F2"/>
    <w:rsid w:val="00020C55"/>
    <w:rsid w:val="000558AC"/>
    <w:rsid w:val="000736B9"/>
    <w:rsid w:val="00085670"/>
    <w:rsid w:val="00094196"/>
    <w:rsid w:val="000A1716"/>
    <w:rsid w:val="000A59A8"/>
    <w:rsid w:val="000D3516"/>
    <w:rsid w:val="000E1D4F"/>
    <w:rsid w:val="00104A4C"/>
    <w:rsid w:val="0011172F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86FF9"/>
    <w:rsid w:val="0049187D"/>
    <w:rsid w:val="00491C5D"/>
    <w:rsid w:val="004A227C"/>
    <w:rsid w:val="004A72E3"/>
    <w:rsid w:val="004F160B"/>
    <w:rsid w:val="005034C0"/>
    <w:rsid w:val="00511F7E"/>
    <w:rsid w:val="005173CE"/>
    <w:rsid w:val="005303C4"/>
    <w:rsid w:val="0053142A"/>
    <w:rsid w:val="00536EE1"/>
    <w:rsid w:val="005452B9"/>
    <w:rsid w:val="00583BC3"/>
    <w:rsid w:val="005A1B84"/>
    <w:rsid w:val="005C4422"/>
    <w:rsid w:val="005C4667"/>
    <w:rsid w:val="005C5648"/>
    <w:rsid w:val="00625028"/>
    <w:rsid w:val="00627F7D"/>
    <w:rsid w:val="00630D72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83AF6"/>
    <w:rsid w:val="008A1D84"/>
    <w:rsid w:val="008B05B8"/>
    <w:rsid w:val="008C5788"/>
    <w:rsid w:val="008E5BC5"/>
    <w:rsid w:val="008E5C85"/>
    <w:rsid w:val="008F35CC"/>
    <w:rsid w:val="008F6083"/>
    <w:rsid w:val="00950304"/>
    <w:rsid w:val="009648AC"/>
    <w:rsid w:val="00965AF2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3CDE"/>
    <w:rsid w:val="00A55035"/>
    <w:rsid w:val="00A758E6"/>
    <w:rsid w:val="00A94FC4"/>
    <w:rsid w:val="00AC297F"/>
    <w:rsid w:val="00AC4AFE"/>
    <w:rsid w:val="00AD3CDD"/>
    <w:rsid w:val="00AE142B"/>
    <w:rsid w:val="00AF38EB"/>
    <w:rsid w:val="00AF7C63"/>
    <w:rsid w:val="00B00CDB"/>
    <w:rsid w:val="00B25D4D"/>
    <w:rsid w:val="00B32B1C"/>
    <w:rsid w:val="00B45112"/>
    <w:rsid w:val="00B46C5A"/>
    <w:rsid w:val="00B5585D"/>
    <w:rsid w:val="00B71405"/>
    <w:rsid w:val="00B75DC9"/>
    <w:rsid w:val="00B94321"/>
    <w:rsid w:val="00B95FCB"/>
    <w:rsid w:val="00B96080"/>
    <w:rsid w:val="00BA00BE"/>
    <w:rsid w:val="00BA7096"/>
    <w:rsid w:val="00BB0FEF"/>
    <w:rsid w:val="00BB20DB"/>
    <w:rsid w:val="00BD6580"/>
    <w:rsid w:val="00BE2257"/>
    <w:rsid w:val="00C02989"/>
    <w:rsid w:val="00C076C7"/>
    <w:rsid w:val="00C13313"/>
    <w:rsid w:val="00C75A17"/>
    <w:rsid w:val="00C81666"/>
    <w:rsid w:val="00C83434"/>
    <w:rsid w:val="00C83EAA"/>
    <w:rsid w:val="00C9054D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36C66"/>
    <w:rsid w:val="00D65CBB"/>
    <w:rsid w:val="00D67B56"/>
    <w:rsid w:val="00D851F6"/>
    <w:rsid w:val="00D87EA4"/>
    <w:rsid w:val="00DD44E5"/>
    <w:rsid w:val="00DE3216"/>
    <w:rsid w:val="00E04B24"/>
    <w:rsid w:val="00E07ED9"/>
    <w:rsid w:val="00E25473"/>
    <w:rsid w:val="00E411D1"/>
    <w:rsid w:val="00E42407"/>
    <w:rsid w:val="00E43BB4"/>
    <w:rsid w:val="00E5095B"/>
    <w:rsid w:val="00E57E61"/>
    <w:rsid w:val="00E60509"/>
    <w:rsid w:val="00E64E7B"/>
    <w:rsid w:val="00E65C32"/>
    <w:rsid w:val="00EA1E33"/>
    <w:rsid w:val="00EB489A"/>
    <w:rsid w:val="00EB515D"/>
    <w:rsid w:val="00EF54F2"/>
    <w:rsid w:val="00F23F2F"/>
    <w:rsid w:val="00F31351"/>
    <w:rsid w:val="00F31B06"/>
    <w:rsid w:val="00F43581"/>
    <w:rsid w:val="00F4530F"/>
    <w:rsid w:val="00F45B22"/>
    <w:rsid w:val="00F52E02"/>
    <w:rsid w:val="00F54466"/>
    <w:rsid w:val="00F554DF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DefaultParagraphFont"/>
    <w:rsid w:val="00E64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DefaultParagraphFont"/>
    <w:rsid w:val="00E6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236C3F-BE9B-4247-8A6B-8D5ACC8F6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2</cp:revision>
  <cp:lastPrinted>2015-07-15T21:10:00Z</cp:lastPrinted>
  <dcterms:created xsi:type="dcterms:W3CDTF">2016-04-02T14:30:00Z</dcterms:created>
  <dcterms:modified xsi:type="dcterms:W3CDTF">2016-04-02T14:30:00Z</dcterms:modified>
</cp:coreProperties>
</file>