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92EA" w14:textId="77777777" w:rsidR="0024011F" w:rsidRDefault="001E7942" w:rsidP="0052478A">
      <w:pPr>
        <w:jc w:val="center"/>
        <w:rPr>
          <w:rFonts w:ascii="Arial" w:hAnsi="Arial"/>
          <w:b/>
        </w:rPr>
      </w:pPr>
      <w:r w:rsidRPr="00A731D5">
        <w:rPr>
          <w:rFonts w:ascii="Arial" w:hAnsi="Arial"/>
          <w:b/>
        </w:rPr>
        <w:t xml:space="preserve">Surface Transport and Quantum Hall Effect in Ambipolar Black </w:t>
      </w:r>
    </w:p>
    <w:p w14:paraId="22B13A2C" w14:textId="1290EF9B" w:rsidR="005F5ED7" w:rsidRPr="00A731D5" w:rsidRDefault="001E7942" w:rsidP="0052478A">
      <w:pPr>
        <w:jc w:val="center"/>
        <w:rPr>
          <w:rFonts w:ascii="Arial" w:hAnsi="Arial"/>
          <w:b/>
        </w:rPr>
      </w:pPr>
      <w:r w:rsidRPr="00A731D5">
        <w:rPr>
          <w:rFonts w:ascii="Arial" w:hAnsi="Arial"/>
          <w:b/>
        </w:rPr>
        <w:t>Phosphorus Double Quantum Wells</w:t>
      </w:r>
    </w:p>
    <w:p w14:paraId="04116375" w14:textId="77777777" w:rsidR="005F5ED7" w:rsidRPr="0052478A" w:rsidRDefault="005F5ED7" w:rsidP="005F5ED7">
      <w:pPr>
        <w:rPr>
          <w:rFonts w:ascii="Arial" w:hAnsi="Arial" w:cs="Arial"/>
          <w:sz w:val="20"/>
          <w:szCs w:val="20"/>
        </w:rPr>
      </w:pPr>
    </w:p>
    <w:p w14:paraId="2A213F32" w14:textId="5BFA5ACA" w:rsidR="005F5ED7" w:rsidRPr="0052478A" w:rsidRDefault="001E7942" w:rsidP="005F5ED7">
      <w:pPr>
        <w:rPr>
          <w:rFonts w:ascii="Arial" w:eastAsia="Times New Roman" w:hAnsi="Arial"/>
          <w:sz w:val="20"/>
          <w:szCs w:val="20"/>
          <w:lang w:val="ru-RU" w:eastAsia="ru-RU"/>
        </w:rPr>
      </w:pPr>
      <w:r w:rsidRPr="001E7942">
        <w:rPr>
          <w:rFonts w:ascii="Arial" w:eastAsia="Times New Roman" w:hAnsi="Arial"/>
          <w:sz w:val="20"/>
          <w:szCs w:val="20"/>
          <w:lang w:eastAsia="ru-RU"/>
        </w:rPr>
        <w:t xml:space="preserve">Tran,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S., </w:t>
      </w:r>
      <w:r w:rsidRPr="001E7942">
        <w:rPr>
          <w:rFonts w:ascii="Arial" w:eastAsia="Times New Roman" w:hAnsi="Arial"/>
          <w:sz w:val="20"/>
          <w:szCs w:val="20"/>
          <w:lang w:eastAsia="ru-RU"/>
        </w:rPr>
        <w:t xml:space="preserve">Yang,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J., </w:t>
      </w:r>
      <w:r w:rsidRPr="001E7942">
        <w:rPr>
          <w:rFonts w:ascii="Arial" w:eastAsia="Times New Roman" w:hAnsi="Arial"/>
          <w:sz w:val="20"/>
          <w:szCs w:val="20"/>
          <w:lang w:eastAsia="ru-RU"/>
        </w:rPr>
        <w:t xml:space="preserve">Bockrath,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M., </w:t>
      </w:r>
      <w:r w:rsidRPr="001E7942">
        <w:rPr>
          <w:rFonts w:ascii="Arial" w:eastAsia="Times New Roman" w:hAnsi="Arial"/>
          <w:sz w:val="20"/>
          <w:szCs w:val="20"/>
          <w:lang w:eastAsia="ru-RU"/>
        </w:rPr>
        <w:t xml:space="preserve">Chen,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R., </w:t>
      </w:r>
      <w:bookmarkStart w:id="0" w:name="_GoBack"/>
      <w:r w:rsidRPr="00922DB5">
        <w:rPr>
          <w:rFonts w:ascii="Arial" w:eastAsia="Times New Roman" w:hAnsi="Arial"/>
          <w:sz w:val="20"/>
          <w:szCs w:val="20"/>
          <w:u w:val="single"/>
          <w:lang w:eastAsia="ru-RU"/>
        </w:rPr>
        <w:t>Lau</w:t>
      </w:r>
      <w:r w:rsidR="006614D3" w:rsidRPr="00922DB5">
        <w:rPr>
          <w:rFonts w:ascii="Arial" w:eastAsia="Times New Roman" w:hAnsi="Arial"/>
          <w:sz w:val="20"/>
          <w:szCs w:val="20"/>
          <w:u w:val="single"/>
          <w:vertAlign w:val="superscript"/>
          <w:lang w:eastAsia="ru-RU"/>
        </w:rPr>
        <w:t xml:space="preserve">, </w:t>
      </w:r>
      <w:r w:rsidR="006614D3" w:rsidRPr="00922DB5">
        <w:rPr>
          <w:rFonts w:ascii="Arial" w:eastAsia="Times New Roman" w:hAnsi="Arial"/>
          <w:sz w:val="20"/>
          <w:szCs w:val="20"/>
          <w:u w:val="single"/>
          <w:lang w:eastAsia="ru-RU"/>
        </w:rPr>
        <w:t>C.N.</w:t>
      </w:r>
      <w:bookmarkEnd w:id="0"/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/>
          <w:sz w:val="20"/>
          <w:szCs w:val="20"/>
          <w:lang w:eastAsia="ru-RU"/>
        </w:rPr>
        <w:t>(The Ohio State University)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; </w:t>
      </w:r>
      <w:r w:rsidRPr="001E7942">
        <w:rPr>
          <w:rFonts w:ascii="Arial" w:eastAsia="Times New Roman" w:hAnsi="Arial"/>
          <w:sz w:val="20"/>
          <w:szCs w:val="20"/>
          <w:lang w:eastAsia="ru-RU"/>
        </w:rPr>
        <w:t xml:space="preserve">Gillgren,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N., </w:t>
      </w:r>
      <w:r w:rsidRPr="001E7942">
        <w:rPr>
          <w:rFonts w:ascii="Arial" w:eastAsia="Times New Roman" w:hAnsi="Arial"/>
          <w:sz w:val="20"/>
          <w:szCs w:val="20"/>
          <w:lang w:eastAsia="ru-RU"/>
        </w:rPr>
        <w:t xml:space="preserve">Espiritu,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T., </w:t>
      </w:r>
      <w:r w:rsidRPr="001E7942">
        <w:rPr>
          <w:rFonts w:ascii="Arial" w:eastAsia="Times New Roman" w:hAnsi="Arial"/>
          <w:sz w:val="20"/>
          <w:szCs w:val="20"/>
          <w:lang w:eastAsia="ru-RU"/>
        </w:rPr>
        <w:t>Shi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, Y. </w:t>
      </w:r>
      <w:r>
        <w:rPr>
          <w:rFonts w:ascii="Arial" w:eastAsia="Times New Roman" w:hAnsi="Arial"/>
          <w:sz w:val="20"/>
          <w:szCs w:val="20"/>
          <w:lang w:eastAsia="ru-RU"/>
        </w:rPr>
        <w:t>(University of California, Riverside)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; </w:t>
      </w:r>
      <w:r w:rsidR="005F5ED7" w:rsidRPr="0052478A">
        <w:rPr>
          <w:rFonts w:ascii="Arial" w:eastAsia="Times New Roman" w:hAnsi="Arial"/>
          <w:sz w:val="20"/>
          <w:szCs w:val="20"/>
          <w:lang w:val="ru-RU" w:eastAsia="ru-RU"/>
        </w:rPr>
        <w:t xml:space="preserve">Watanabe,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K., </w:t>
      </w:r>
      <w:r w:rsidR="005F5ED7" w:rsidRPr="0052478A">
        <w:rPr>
          <w:rFonts w:ascii="Arial" w:eastAsia="Times New Roman" w:hAnsi="Arial"/>
          <w:sz w:val="20"/>
          <w:szCs w:val="20"/>
          <w:lang w:val="ru-RU" w:eastAsia="ru-RU"/>
        </w:rPr>
        <w:t>Taniguchi</w:t>
      </w:r>
      <w:r w:rsidR="006614D3">
        <w:rPr>
          <w:rFonts w:ascii="Arial" w:eastAsia="Times New Roman" w:hAnsi="Arial"/>
          <w:sz w:val="20"/>
          <w:szCs w:val="20"/>
          <w:lang w:eastAsia="ru-RU"/>
        </w:rPr>
        <w:t>, T.</w:t>
      </w:r>
      <w:r w:rsidR="00F35C28" w:rsidRPr="0052478A">
        <w:rPr>
          <w:rFonts w:ascii="Arial" w:eastAsia="Times New Roman" w:hAnsi="Arial"/>
          <w:sz w:val="20"/>
          <w:szCs w:val="20"/>
          <w:lang w:val="ru-RU" w:eastAsia="ru-RU"/>
        </w:rPr>
        <w:t xml:space="preserve"> (NIMS)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; </w:t>
      </w:r>
      <w:r w:rsidR="002613EC" w:rsidRPr="001E7942">
        <w:rPr>
          <w:rFonts w:ascii="Arial" w:eastAsia="Times New Roman" w:hAnsi="Arial"/>
          <w:sz w:val="20"/>
          <w:szCs w:val="20"/>
          <w:lang w:eastAsia="ru-RU"/>
        </w:rPr>
        <w:t xml:space="preserve">Moon,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S., </w:t>
      </w:r>
      <w:r w:rsidR="002613EC" w:rsidRPr="001E7942">
        <w:rPr>
          <w:rFonts w:ascii="Arial" w:eastAsia="Times New Roman" w:hAnsi="Arial"/>
          <w:sz w:val="20"/>
          <w:szCs w:val="20"/>
          <w:lang w:eastAsia="ru-RU"/>
        </w:rPr>
        <w:t xml:space="preserve">Baek, </w:t>
      </w:r>
      <w:r w:rsidR="006614D3">
        <w:rPr>
          <w:rFonts w:ascii="Arial" w:eastAsia="Times New Roman" w:hAnsi="Arial"/>
          <w:sz w:val="20"/>
          <w:szCs w:val="20"/>
          <w:lang w:eastAsia="ru-RU"/>
        </w:rPr>
        <w:t xml:space="preserve">H., </w:t>
      </w:r>
      <w:r w:rsidR="005F5ED7" w:rsidRPr="0052478A">
        <w:rPr>
          <w:rFonts w:ascii="Arial" w:hAnsi="Arial" w:cs="Arial"/>
          <w:sz w:val="20"/>
          <w:szCs w:val="20"/>
        </w:rPr>
        <w:t>Smirnov</w:t>
      </w:r>
      <w:r w:rsidR="006614D3">
        <w:rPr>
          <w:rFonts w:ascii="Arial" w:hAnsi="Arial" w:cs="Arial"/>
          <w:sz w:val="20"/>
          <w:szCs w:val="20"/>
        </w:rPr>
        <w:t>, D.</w:t>
      </w:r>
      <w:r w:rsidR="005F5ED7" w:rsidRPr="0052478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F5ED7" w:rsidRPr="0052478A">
        <w:rPr>
          <w:rFonts w:ascii="Arial" w:hAnsi="Arial" w:cs="Arial"/>
          <w:sz w:val="20"/>
          <w:szCs w:val="20"/>
        </w:rPr>
        <w:t>(NHMFL)</w:t>
      </w:r>
    </w:p>
    <w:p w14:paraId="588223C6" w14:textId="77777777" w:rsidR="005F5ED7" w:rsidRPr="0052478A" w:rsidRDefault="005F5ED7" w:rsidP="005F5ED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E67AF6F" w14:textId="77777777" w:rsidR="0052478A" w:rsidRDefault="0052478A" w:rsidP="005F5ED7">
      <w:pPr>
        <w:rPr>
          <w:rFonts w:ascii="Arial" w:hAnsi="Arial" w:cs="Arial"/>
          <w:b/>
          <w:sz w:val="20"/>
          <w:szCs w:val="20"/>
        </w:rPr>
      </w:pPr>
    </w:p>
    <w:p w14:paraId="13A34F21" w14:textId="77777777" w:rsidR="005F5ED7" w:rsidRPr="0052478A" w:rsidRDefault="005F5ED7" w:rsidP="005F5ED7">
      <w:pPr>
        <w:rPr>
          <w:rFonts w:ascii="Arial" w:hAnsi="Arial" w:cs="Arial"/>
          <w:b/>
          <w:sz w:val="20"/>
          <w:szCs w:val="20"/>
        </w:rPr>
      </w:pPr>
      <w:r w:rsidRPr="0052478A">
        <w:rPr>
          <w:rFonts w:ascii="Arial" w:hAnsi="Arial" w:cs="Arial"/>
          <w:b/>
          <w:sz w:val="20"/>
          <w:szCs w:val="20"/>
        </w:rPr>
        <w:t>Introduction</w:t>
      </w:r>
    </w:p>
    <w:p w14:paraId="3712DAEF" w14:textId="29361850" w:rsidR="0052478A" w:rsidRDefault="002613EC" w:rsidP="006614D3">
      <w:pPr>
        <w:ind w:firstLine="360"/>
        <w:jc w:val="both"/>
        <w:rPr>
          <w:rFonts w:ascii="Arial" w:hAnsi="Arial"/>
          <w:sz w:val="20"/>
          <w:szCs w:val="20"/>
        </w:rPr>
      </w:pPr>
      <w:r w:rsidRPr="002613EC">
        <w:rPr>
          <w:rFonts w:ascii="Arial" w:hAnsi="Arial"/>
          <w:sz w:val="20"/>
          <w:szCs w:val="20"/>
        </w:rPr>
        <w:t>Quantum wells</w:t>
      </w:r>
      <w:r>
        <w:rPr>
          <w:rFonts w:ascii="Arial" w:hAnsi="Arial"/>
          <w:sz w:val="20"/>
          <w:szCs w:val="20"/>
        </w:rPr>
        <w:t xml:space="preserve"> (QW)</w:t>
      </w:r>
      <w:r w:rsidRPr="002613EC">
        <w:rPr>
          <w:rFonts w:ascii="Arial" w:hAnsi="Arial"/>
          <w:sz w:val="20"/>
          <w:szCs w:val="20"/>
        </w:rPr>
        <w:t xml:space="preserve"> constitute one of the most important classes of devices in the study of 2D systems. In a double layer QW, the additional “which-layer” degree of freedom gives rise to celebrated phenomena such as Coulomb drag, Hall drag and exciton condensation</w:t>
      </w:r>
      <w:r>
        <w:rPr>
          <w:rFonts w:ascii="Arial" w:hAnsi="Arial"/>
          <w:sz w:val="20"/>
          <w:szCs w:val="20"/>
        </w:rPr>
        <w:t xml:space="preserve">. </w:t>
      </w:r>
      <w:r w:rsidRPr="002613EC">
        <w:rPr>
          <w:rFonts w:ascii="Arial" w:hAnsi="Arial"/>
          <w:sz w:val="20"/>
          <w:szCs w:val="20"/>
        </w:rPr>
        <w:t>Traditional QWs are fabricated based on GaAs/AlGaAs heterostructures</w:t>
      </w:r>
      <w:r>
        <w:rPr>
          <w:rFonts w:ascii="Arial" w:hAnsi="Arial"/>
          <w:sz w:val="20"/>
          <w:szCs w:val="20"/>
        </w:rPr>
        <w:t>. More rec</w:t>
      </w:r>
      <w:r w:rsidR="007C3CC2">
        <w:rPr>
          <w:rFonts w:ascii="Arial" w:hAnsi="Arial"/>
          <w:sz w:val="20"/>
          <w:szCs w:val="20"/>
        </w:rPr>
        <w:t>ently, QWs based on graphene have</w:t>
      </w:r>
      <w:r>
        <w:rPr>
          <w:rFonts w:ascii="Arial" w:hAnsi="Arial"/>
          <w:sz w:val="20"/>
          <w:szCs w:val="20"/>
        </w:rPr>
        <w:t xml:space="preserve"> been demonstrated. However, wide </w:t>
      </w:r>
      <w:r w:rsidRPr="002613EC">
        <w:rPr>
          <w:rFonts w:ascii="Arial" w:hAnsi="Arial"/>
          <w:sz w:val="20"/>
          <w:szCs w:val="20"/>
        </w:rPr>
        <w:t>QW</w:t>
      </w:r>
      <w:r>
        <w:rPr>
          <w:rFonts w:ascii="Arial" w:hAnsi="Arial"/>
          <w:sz w:val="20"/>
          <w:szCs w:val="20"/>
        </w:rPr>
        <w:t>s,</w:t>
      </w:r>
      <w:r w:rsidRPr="002613EC">
        <w:rPr>
          <w:rFonts w:ascii="Arial" w:hAnsi="Arial"/>
          <w:sz w:val="20"/>
          <w:szCs w:val="20"/>
        </w:rPr>
        <w:t xml:space="preserve"> in which the Coulomb repulsion spontaneously causes electrons to reside on the opposite walls</w:t>
      </w:r>
      <w:r>
        <w:rPr>
          <w:rFonts w:ascii="Arial" w:hAnsi="Arial"/>
          <w:sz w:val="20"/>
          <w:szCs w:val="20"/>
        </w:rPr>
        <w:t xml:space="preserve">, have not been realized in two-dimensional (2D) materials, </w:t>
      </w:r>
      <w:r w:rsidRPr="002613EC">
        <w:rPr>
          <w:rFonts w:ascii="Arial" w:hAnsi="Arial"/>
          <w:sz w:val="20"/>
          <w:szCs w:val="20"/>
        </w:rPr>
        <w:t>due to the lack of high mobility 2D semiconductors with sizeable band gaps.</w:t>
      </w:r>
    </w:p>
    <w:p w14:paraId="044AD1DF" w14:textId="77777777" w:rsidR="0052478A" w:rsidRDefault="0052478A" w:rsidP="00691F54">
      <w:pPr>
        <w:jc w:val="both"/>
        <w:rPr>
          <w:rFonts w:ascii="Arial" w:hAnsi="Arial"/>
          <w:sz w:val="20"/>
          <w:szCs w:val="20"/>
        </w:rPr>
      </w:pPr>
    </w:p>
    <w:p w14:paraId="6845A170" w14:textId="77777777" w:rsidR="0052478A" w:rsidRPr="006B3824" w:rsidRDefault="0052478A" w:rsidP="0052478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110AD979" w14:textId="2E79DF62" w:rsidR="0052478A" w:rsidRDefault="0052478A" w:rsidP="006614D3">
      <w:pPr>
        <w:ind w:firstLine="360"/>
        <w:jc w:val="both"/>
        <w:rPr>
          <w:rFonts w:ascii="Arial" w:eastAsia="MS-Mincho" w:hAnsi="Arial" w:cs="TimesNewRomanPSMT"/>
          <w:sz w:val="20"/>
          <w:szCs w:val="20"/>
        </w:rPr>
      </w:pPr>
      <w:r>
        <w:rPr>
          <w:rFonts w:ascii="Arial" w:eastAsia="MS-Mincho" w:hAnsi="Arial" w:cs="TimesNewRomanPSMT"/>
          <w:sz w:val="20"/>
          <w:szCs w:val="20"/>
        </w:rPr>
        <w:t xml:space="preserve">We study the </w:t>
      </w:r>
      <w:r w:rsidR="002613EC">
        <w:rPr>
          <w:rFonts w:ascii="Arial" w:eastAsia="MS-Mincho" w:hAnsi="Arial" w:cs="TimesNewRomanPSMT"/>
          <w:sz w:val="20"/>
          <w:szCs w:val="20"/>
        </w:rPr>
        <w:t>electronic transport</w:t>
      </w:r>
      <w:r>
        <w:rPr>
          <w:rFonts w:ascii="Arial" w:eastAsia="MS-Mincho" w:hAnsi="Arial" w:cs="TimesNewRomanPSMT"/>
          <w:sz w:val="20"/>
          <w:szCs w:val="20"/>
        </w:rPr>
        <w:t xml:space="preserve"> in hBN-encapsulated</w:t>
      </w:r>
      <w:r w:rsidR="002613EC">
        <w:rPr>
          <w:rFonts w:ascii="Arial" w:eastAsia="MS-Mincho" w:hAnsi="Arial" w:cs="TimesNewRomanPSMT"/>
          <w:sz w:val="20"/>
          <w:szCs w:val="20"/>
        </w:rPr>
        <w:t xml:space="preserve"> black phosphorus devices</w:t>
      </w:r>
      <w:r>
        <w:rPr>
          <w:rFonts w:ascii="Arial" w:eastAsia="MS-Mincho" w:hAnsi="Arial" w:cs="TimesNewRomanPSMT"/>
          <w:sz w:val="20"/>
          <w:szCs w:val="20"/>
        </w:rPr>
        <w:t xml:space="preserve"> up to </w:t>
      </w:r>
      <w:r w:rsidR="002613EC">
        <w:rPr>
          <w:rFonts w:ascii="Arial" w:eastAsia="MS-Mincho" w:hAnsi="Arial" w:cs="TimesNewRomanPSMT"/>
          <w:sz w:val="20"/>
          <w:szCs w:val="20"/>
        </w:rPr>
        <w:t>31</w:t>
      </w:r>
      <w:r>
        <w:rPr>
          <w:rFonts w:ascii="Arial" w:eastAsia="MS-Mincho" w:hAnsi="Arial" w:cs="TimesNewRomanPSMT"/>
          <w:sz w:val="20"/>
          <w:szCs w:val="20"/>
        </w:rPr>
        <w:t xml:space="preserve">T at NHMFL. </w:t>
      </w:r>
    </w:p>
    <w:p w14:paraId="462AAE26" w14:textId="77777777" w:rsidR="0052478A" w:rsidRDefault="0052478A" w:rsidP="0052478A">
      <w:pPr>
        <w:jc w:val="both"/>
        <w:rPr>
          <w:rFonts w:ascii="Arial" w:hAnsi="Arial"/>
          <w:sz w:val="20"/>
          <w:szCs w:val="20"/>
        </w:rPr>
      </w:pPr>
    </w:p>
    <w:p w14:paraId="172A2F04" w14:textId="4B1D1CDB" w:rsidR="0052478A" w:rsidRPr="0052478A" w:rsidRDefault="0052478A" w:rsidP="0052478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7E3B0BC2" w14:textId="147B90F0" w:rsidR="005F5ED7" w:rsidRPr="0052478A" w:rsidRDefault="002613EC" w:rsidP="006614D3">
      <w:pPr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</w:t>
      </w:r>
      <w:r w:rsidRPr="002613E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demonstrate </w:t>
      </w:r>
      <w:r w:rsidRPr="002613EC">
        <w:rPr>
          <w:rFonts w:ascii="Arial" w:hAnsi="Arial"/>
          <w:sz w:val="20"/>
          <w:szCs w:val="20"/>
        </w:rPr>
        <w:t xml:space="preserve">a simple </w:t>
      </w:r>
      <w:r>
        <w:rPr>
          <w:rFonts w:ascii="Arial" w:hAnsi="Arial"/>
          <w:sz w:val="20"/>
          <w:szCs w:val="20"/>
        </w:rPr>
        <w:t xml:space="preserve">yet facile </w:t>
      </w:r>
      <w:r w:rsidRPr="002613EC">
        <w:rPr>
          <w:rFonts w:ascii="Arial" w:hAnsi="Arial"/>
          <w:sz w:val="20"/>
          <w:szCs w:val="20"/>
        </w:rPr>
        <w:t>realization of wide QWs with a double layer of charge carriers in few-layer black phosphorus (BP) devices, with mobility up to 6500 cm</w:t>
      </w:r>
      <w:r w:rsidRPr="002613EC">
        <w:rPr>
          <w:rFonts w:ascii="Arial" w:hAnsi="Arial"/>
          <w:sz w:val="20"/>
          <w:szCs w:val="20"/>
          <w:vertAlign w:val="superscript"/>
        </w:rPr>
        <w:t>2</w:t>
      </w:r>
      <w:r w:rsidRPr="002613EC">
        <w:rPr>
          <w:rFonts w:ascii="Arial" w:hAnsi="Arial"/>
          <w:sz w:val="20"/>
          <w:szCs w:val="20"/>
        </w:rPr>
        <w:t xml:space="preserve">/Vs. In contrast to traditional GaAs/AlGaAs QWs, BP-based wide QW devices are ambipolar and highly tunable – by independently adjusting top and back gate voltages, we can tune the system into the single or double quantum well regime with unipolar </w:t>
      </w:r>
      <w:r>
        <w:rPr>
          <w:rFonts w:ascii="Arial" w:hAnsi="Arial"/>
          <w:sz w:val="20"/>
          <w:szCs w:val="20"/>
        </w:rPr>
        <w:t>or bipolar charge distributions. Fully spin-polarized</w:t>
      </w:r>
      <w:r w:rsidRPr="002613E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 w:rsidRPr="002613EC">
        <w:rPr>
          <w:rFonts w:ascii="Arial" w:hAnsi="Arial"/>
          <w:sz w:val="20"/>
          <w:szCs w:val="20"/>
        </w:rPr>
        <w:t xml:space="preserve">nteger QH plateaus are observed on both surface states. From temperature and density-dependent measurements, an enhanced Landé g-factor of 2.7 is observed. </w:t>
      </w:r>
    </w:p>
    <w:p w14:paraId="442C9784" w14:textId="77777777" w:rsidR="00691F54" w:rsidRPr="0052478A" w:rsidRDefault="00691F54" w:rsidP="00691F54">
      <w:pPr>
        <w:rPr>
          <w:rFonts w:ascii="Arial" w:hAnsi="Arial"/>
          <w:sz w:val="20"/>
          <w:szCs w:val="20"/>
        </w:rPr>
      </w:pPr>
    </w:p>
    <w:p w14:paraId="3A3F1547" w14:textId="361C00EC" w:rsidR="005F5ED7" w:rsidRPr="0052478A" w:rsidRDefault="0052478A" w:rsidP="005F5E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Conclusions</w:t>
      </w:r>
    </w:p>
    <w:p w14:paraId="656F9F1D" w14:textId="1A58426D" w:rsidR="005F5ED7" w:rsidRPr="00491E04" w:rsidRDefault="002613EC" w:rsidP="006614D3">
      <w:pPr>
        <w:widowControl w:val="0"/>
        <w:autoSpaceDE w:val="0"/>
        <w:autoSpaceDN w:val="0"/>
        <w:adjustRightInd w:val="0"/>
        <w:spacing w:after="240"/>
        <w:ind w:firstLine="360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613EC">
        <w:rPr>
          <w:rFonts w:ascii="Arial" w:hAnsi="Arial"/>
          <w:sz w:val="20"/>
          <w:szCs w:val="20"/>
        </w:rPr>
        <w:t xml:space="preserve">Our work opens the door for using 2D semiconductors as ambipolar single, double or </w:t>
      </w:r>
      <w:r>
        <w:rPr>
          <w:rFonts w:ascii="Arial" w:hAnsi="Arial"/>
          <w:sz w:val="20"/>
          <w:szCs w:val="20"/>
        </w:rPr>
        <w:t>wide QWs with unusual properties, and phenomena such as</w:t>
      </w:r>
      <w:r w:rsidRPr="002613EC">
        <w:rPr>
          <w:rFonts w:ascii="Arial" w:hAnsi="Arial"/>
          <w:sz w:val="20"/>
          <w:szCs w:val="20"/>
        </w:rPr>
        <w:t xml:space="preserve"> Landau level hybridization, inter-well Coulomb interactions, or multi-component QH </w:t>
      </w:r>
      <w:r>
        <w:rPr>
          <w:rFonts w:ascii="Arial" w:hAnsi="Arial"/>
          <w:sz w:val="20"/>
          <w:szCs w:val="20"/>
        </w:rPr>
        <w:t>ferromagnetism</w:t>
      </w:r>
      <w:r w:rsidRPr="002613EC">
        <w:rPr>
          <w:rFonts w:ascii="Arial" w:hAnsi="Arial"/>
          <w:sz w:val="20"/>
          <w:szCs w:val="20"/>
        </w:rPr>
        <w:t xml:space="preserve"> in this highly anisotropic system</w:t>
      </w:r>
      <w:r>
        <w:rPr>
          <w:rFonts w:ascii="Arial" w:hAnsi="Arial"/>
          <w:sz w:val="20"/>
          <w:szCs w:val="20"/>
        </w:rPr>
        <w:t xml:space="preserve"> await investigation.</w:t>
      </w:r>
    </w:p>
    <w:p w14:paraId="0637F7A0" w14:textId="32380E39" w:rsidR="005F5ED7" w:rsidRPr="0052478A" w:rsidRDefault="005F5ED7" w:rsidP="005F5ED7">
      <w:pPr>
        <w:rPr>
          <w:rFonts w:ascii="Arial" w:hAnsi="Arial" w:cs="Arial"/>
          <w:b/>
          <w:sz w:val="20"/>
          <w:szCs w:val="20"/>
        </w:rPr>
      </w:pPr>
      <w:r w:rsidRPr="0052478A">
        <w:rPr>
          <w:rFonts w:ascii="Arial" w:hAnsi="Arial" w:cs="Arial"/>
          <w:b/>
          <w:sz w:val="20"/>
          <w:szCs w:val="20"/>
        </w:rPr>
        <w:t xml:space="preserve">Acknowledgements </w:t>
      </w:r>
    </w:p>
    <w:p w14:paraId="6843EFF8" w14:textId="6424A226" w:rsidR="00A46E2A" w:rsidRDefault="002613EC" w:rsidP="006614D3">
      <w:pPr>
        <w:ind w:firstLine="360"/>
        <w:rPr>
          <w:rFonts w:ascii="Arial" w:hAnsi="Arial" w:cs="Helvetica"/>
          <w:sz w:val="20"/>
          <w:szCs w:val="20"/>
          <w:lang w:val="ru-RU" w:bidi="en-US"/>
        </w:rPr>
      </w:pPr>
      <w:r w:rsidRPr="002613EC">
        <w:rPr>
          <w:rFonts w:ascii="Arial" w:hAnsi="Arial" w:cs="Helvetica"/>
          <w:sz w:val="20"/>
          <w:szCs w:val="20"/>
          <w:lang w:val="ru-RU" w:bidi="en-US"/>
        </w:rPr>
        <w:t xml:space="preserve">This work is supported by FAME center, one of six centers of STARnet, a Semiconductor Research Corporation program sponsored by MARCO and DARPA, and by NSF/ECCS 1509958. A portion of this work was performed at the National High Magnetic Field Laboratory, which is supported by National Science Foundation Cooperative Agreement No. DMR-1157490 and the State of Florida. K.W. and T.T. acknowledge support from the Elemental Strategy Initiative conducted by the MEXT, Japan and JSPS KAKENHI Grant Numbers JP26248061, JP15K21722 and JP25106006.  </w:t>
      </w:r>
    </w:p>
    <w:p w14:paraId="0E7352E6" w14:textId="1904FE97" w:rsidR="00491E04" w:rsidRDefault="00491E04" w:rsidP="00A46E2A">
      <w:pPr>
        <w:rPr>
          <w:rFonts w:ascii="Arial" w:hAnsi="Arial" w:cs="Helvetica"/>
          <w:sz w:val="20"/>
          <w:szCs w:val="20"/>
          <w:lang w:val="ru-RU" w:bidi="en-US"/>
        </w:rPr>
      </w:pPr>
    </w:p>
    <w:p w14:paraId="2A34B9BA" w14:textId="43C5DEE6" w:rsidR="00491E04" w:rsidRPr="00491E04" w:rsidRDefault="00491E04" w:rsidP="00A46E2A">
      <w:pPr>
        <w:rPr>
          <w:rFonts w:ascii="Arial" w:hAnsi="Arial" w:cs="Helvetica"/>
          <w:sz w:val="20"/>
          <w:szCs w:val="20"/>
          <w:lang w:bidi="en-US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66CC7DF7" w14:textId="5E936572" w:rsidR="005F5ED7" w:rsidRPr="0052478A" w:rsidRDefault="00491E04" w:rsidP="005F5ED7">
      <w:pPr>
        <w:rPr>
          <w:rFonts w:ascii="Arial" w:hAnsi="Arial" w:cs="Helvetica"/>
          <w:sz w:val="20"/>
          <w:szCs w:val="20"/>
          <w:lang w:bidi="en-US"/>
        </w:rPr>
      </w:pPr>
      <w:r>
        <w:rPr>
          <w:rFonts w:ascii="Arial" w:hAnsi="Arial" w:cs="Helvetica"/>
          <w:sz w:val="20"/>
          <w:szCs w:val="20"/>
          <w:lang w:bidi="en-US"/>
        </w:rPr>
        <w:t xml:space="preserve">1. </w:t>
      </w:r>
      <w:r w:rsidR="002613EC" w:rsidRPr="002613EC">
        <w:rPr>
          <w:rFonts w:ascii="Arial" w:hAnsi="Arial" w:cs="Helvetica"/>
          <w:sz w:val="20"/>
          <w:szCs w:val="20"/>
          <w:lang w:bidi="en-US"/>
        </w:rPr>
        <w:t>S. Tran, J. Yang, N. Gillgren, T. Espiritu, Y. Shi, K. Watanabe, T. Taniguchi, S. Moon, H. Baek, D. Smirnov, M.W. Bockrath, R. Chen, C. N. Lau, “Surface Transport and Quantum Hall Effect in Ambipolar Black Phosphorus Double Quantum Wells,” Science Advances, 3, e1603179 (2017).</w:t>
      </w:r>
    </w:p>
    <w:p w14:paraId="3E053EC1" w14:textId="57A7AB7E" w:rsidR="00360A03" w:rsidRPr="0052478A" w:rsidRDefault="004D035A" w:rsidP="005F5E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5D793" wp14:editId="13DAD102">
                <wp:simplePos x="0" y="0"/>
                <wp:positionH relativeFrom="column">
                  <wp:posOffset>3320415</wp:posOffset>
                </wp:positionH>
                <wp:positionV relativeFrom="paragraph">
                  <wp:posOffset>49530</wp:posOffset>
                </wp:positionV>
                <wp:extent cx="2713990" cy="17322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1AD3A" w14:textId="5B42E2E7" w:rsidR="00A731D5" w:rsidRPr="006614D3" w:rsidRDefault="00A731D5" w:rsidP="00562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Arial" w:eastAsiaTheme="minorEastAsia" w:hAnsi="Arial" w:cs="Arial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61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Fig. 1. </w:t>
                            </w:r>
                            <w:r w:rsidRPr="006614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Right panel: </w:t>
                            </w:r>
                            <w:r w:rsidRPr="006614D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R(V</w:t>
                            </w:r>
                            <w:r w:rsidRPr="006614D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bg</w:t>
                            </w:r>
                            <w:r w:rsidRPr="006614D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 V</w:t>
                            </w:r>
                            <w:r w:rsidRPr="006614D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tg</w:t>
                            </w:r>
                            <w:r w:rsidRPr="006614D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6614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at </w:t>
                            </w:r>
                            <w:r w:rsidRPr="006614D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T=</w:t>
                            </w:r>
                            <w:r w:rsidRPr="006614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0.5 K and </w:t>
                            </w:r>
                            <w:r w:rsidRPr="006614D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B=</w:t>
                            </w:r>
                            <w:r w:rsidRPr="006614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 T, featuring a complicated quantum oscillations pattern. The color scale is in kΩ. Left panels: schematics of the charge distributions that correspond to bipolar double layer, single layer, and unipolar double-layer regimes, respectively. (inset). Charge types for top and bottom surfaces at different combinations of gate voltages. p: hole doped; n: electron doped i: intrinsic insulating state.</w:t>
                            </w:r>
                          </w:p>
                          <w:p w14:paraId="1572A7C4" w14:textId="77777777" w:rsidR="00A731D5" w:rsidRDefault="00A73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45pt;margin-top:3.9pt;width:213.7pt;height:1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" filled="f" stroked="f">
                <v:textbox>
                  <w:txbxContent>
                    <w:p w14:paraId="1001AD3A" w14:textId="5B42E2E7" w:rsidR="00A731D5" w:rsidRPr="006614D3" w:rsidRDefault="00A731D5" w:rsidP="00562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Arial" w:eastAsiaTheme="minorEastAsia" w:hAnsi="Arial" w:cs="Arial"/>
                          <w:color w:val="000000"/>
                          <w:sz w:val="18"/>
                          <w:szCs w:val="18"/>
                          <w:lang w:eastAsia="ru-RU"/>
                        </w:rPr>
                      </w:pPr>
                      <w:r w:rsidRPr="006614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Fig. 1. </w:t>
                      </w:r>
                      <w:r w:rsidRPr="006614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Right panel: </w:t>
                      </w:r>
                      <w:r w:rsidRPr="006614D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R(V</w:t>
                      </w:r>
                      <w:r w:rsidRPr="006614D3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bscript"/>
                        </w:rPr>
                        <w:t>bg</w:t>
                      </w:r>
                      <w:r w:rsidRPr="006614D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 V</w:t>
                      </w:r>
                      <w:r w:rsidRPr="006614D3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bscript"/>
                        </w:rPr>
                        <w:t>tg</w:t>
                      </w:r>
                      <w:r w:rsidRPr="006614D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  <w:r w:rsidRPr="006614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at </w:t>
                      </w:r>
                      <w:r w:rsidRPr="006614D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T=</w:t>
                      </w:r>
                      <w:r w:rsidRPr="006614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0.5 K and </w:t>
                      </w:r>
                      <w:r w:rsidRPr="006614D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B=</w:t>
                      </w:r>
                      <w:r w:rsidRPr="006614D3">
                        <w:rPr>
                          <w:rFonts w:ascii="Arial" w:hAnsi="Arial" w:cs="Arial"/>
                          <w:sz w:val="18"/>
                          <w:szCs w:val="18"/>
                        </w:rPr>
                        <w:t>18 T, featuring a complicated quantum oscillations pattern. The color scale is in kΩ. Left panels: schematics of the charge distributions that correspond to bipolar double layer, single layer, and unipolar double-layer regimes, respectively. (inset). Charge types for top and bottom surfaces at different combinations of gate voltages. p: hole doped; n: electron doped i: intrinsic insulating state.</w:t>
                      </w:r>
                    </w:p>
                    <w:p w14:paraId="1572A7C4" w14:textId="77777777" w:rsidR="00A731D5" w:rsidRDefault="00A731D5"/>
                  </w:txbxContent>
                </v:textbox>
                <w10:wrap type="square"/>
              </v:shape>
            </w:pict>
          </mc:Fallback>
        </mc:AlternateContent>
      </w:r>
      <w:r w:rsidRPr="004D035A"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 wp14:anchorId="366B4F75" wp14:editId="1E55E12E">
            <wp:simplePos x="0" y="0"/>
            <wp:positionH relativeFrom="column">
              <wp:posOffset>43180</wp:posOffset>
            </wp:positionH>
            <wp:positionV relativeFrom="paragraph">
              <wp:posOffset>59690</wp:posOffset>
            </wp:positionV>
            <wp:extent cx="3229610" cy="1800225"/>
            <wp:effectExtent l="0" t="0" r="0" b="3175"/>
            <wp:wrapSquare wrapText="bothSides"/>
            <wp:docPr id="3" name="Picture 2" descr="fig3(need change labe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ig3(need change label)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49"/>
                    <a:stretch/>
                  </pic:blipFill>
                  <pic:spPr bwMode="auto">
                    <a:xfrm>
                      <a:off x="0" y="0"/>
                      <a:ext cx="322961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9DECF" w14:textId="5785486A" w:rsidR="00965A19" w:rsidRPr="0052478A" w:rsidRDefault="00965A19" w:rsidP="005F5ED7">
      <w:pPr>
        <w:rPr>
          <w:rFonts w:ascii="Arial" w:hAnsi="Arial" w:cs="Arial"/>
          <w:b/>
          <w:sz w:val="20"/>
          <w:szCs w:val="20"/>
        </w:rPr>
      </w:pPr>
    </w:p>
    <w:p w14:paraId="5A987612" w14:textId="5A9891C8" w:rsidR="00F3354C" w:rsidRPr="0052478A" w:rsidRDefault="00F3354C" w:rsidP="00EB221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</w:p>
    <w:sectPr w:rsidR="00F3354C" w:rsidRPr="0052478A" w:rsidSect="00EB221A">
      <w:headerReference w:type="default" r:id="rId8"/>
      <w:pgSz w:w="12240" w:h="15840" w:code="1"/>
      <w:pgMar w:top="510" w:right="1080" w:bottom="0" w:left="108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07760" w14:textId="77777777" w:rsidR="00EE6BAB" w:rsidRDefault="00EE6BAB" w:rsidP="00691F54">
      <w:r>
        <w:separator/>
      </w:r>
    </w:p>
  </w:endnote>
  <w:endnote w:type="continuationSeparator" w:id="0">
    <w:p w14:paraId="72CA0E3F" w14:textId="77777777" w:rsidR="00EE6BAB" w:rsidRDefault="00EE6BAB" w:rsidP="0069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9F59B" w14:textId="77777777" w:rsidR="00EE6BAB" w:rsidRDefault="00EE6BAB" w:rsidP="00691F54">
      <w:r>
        <w:separator/>
      </w:r>
    </w:p>
  </w:footnote>
  <w:footnote w:type="continuationSeparator" w:id="0">
    <w:p w14:paraId="0A54E330" w14:textId="77777777" w:rsidR="00EE6BAB" w:rsidRDefault="00EE6BAB" w:rsidP="0069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821B" w14:textId="13F20AFD" w:rsidR="0024011F" w:rsidRPr="00091A2B" w:rsidRDefault="0024011F" w:rsidP="0024011F">
    <w:pPr>
      <w:jc w:val="center"/>
      <w:rPr>
        <w:rFonts w:ascii="Arial" w:hAnsi="Arial" w:cs="Arial"/>
        <w:b/>
        <w:color w:val="7030A0"/>
        <w:sz w:val="22"/>
        <w:szCs w:val="22"/>
      </w:rPr>
    </w:pP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41A1A3CB" wp14:editId="479C3A97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520700" cy="628650"/>
          <wp:effectExtent l="0" t="0" r="0" b="0"/>
          <wp:wrapTight wrapText="bothSides">
            <wp:wrapPolygon edited="0">
              <wp:start x="0" y="0"/>
              <wp:lineTo x="0" y="20945"/>
              <wp:lineTo x="20546" y="20945"/>
              <wp:lineTo x="20546" y="0"/>
              <wp:lineTo x="0" y="0"/>
            </wp:wrapPolygon>
          </wp:wrapTight>
          <wp:docPr id="2" name="Picture 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A2B">
      <w:rPr>
        <w:rFonts w:ascii="Arial" w:hAnsi="Arial" w:cs="Arial"/>
        <w:b/>
        <w:color w:val="7030A0"/>
        <w:sz w:val="22"/>
        <w:szCs w:val="22"/>
      </w:rPr>
      <w:t>NATIONAL HIGH MAGNETIC FIELD LABORATORY</w:t>
    </w:r>
  </w:p>
  <w:p w14:paraId="66A0262A" w14:textId="77777777" w:rsidR="0024011F" w:rsidRPr="00091A2B" w:rsidRDefault="0024011F" w:rsidP="0024011F">
    <w:pPr>
      <w:jc w:val="center"/>
      <w:rPr>
        <w:rFonts w:ascii="Arial" w:hAnsi="Arial" w:cs="Arial"/>
        <w:b/>
        <w:color w:val="7030A0"/>
        <w:sz w:val="22"/>
        <w:szCs w:val="22"/>
      </w:rPr>
    </w:pPr>
    <w:r w:rsidRPr="00091A2B">
      <w:rPr>
        <w:rFonts w:ascii="Arial" w:hAnsi="Arial" w:cs="Arial"/>
        <w:b/>
        <w:color w:val="7030A0"/>
        <w:sz w:val="22"/>
        <w:szCs w:val="22"/>
      </w:rPr>
      <w:t>2017 ANNUAL RESEARCH REPORT</w:t>
    </w:r>
  </w:p>
  <w:p w14:paraId="70885D44" w14:textId="6DA9536A" w:rsidR="00A731D5" w:rsidRPr="0024011F" w:rsidRDefault="00A731D5" w:rsidP="00240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7"/>
    <w:rsid w:val="001E7942"/>
    <w:rsid w:val="0024011F"/>
    <w:rsid w:val="00260D31"/>
    <w:rsid w:val="002613EC"/>
    <w:rsid w:val="002766EB"/>
    <w:rsid w:val="002B3D34"/>
    <w:rsid w:val="002C2C2B"/>
    <w:rsid w:val="00360A03"/>
    <w:rsid w:val="003E5596"/>
    <w:rsid w:val="00491E04"/>
    <w:rsid w:val="004D035A"/>
    <w:rsid w:val="0052478A"/>
    <w:rsid w:val="00562A02"/>
    <w:rsid w:val="005F5ED7"/>
    <w:rsid w:val="006614D3"/>
    <w:rsid w:val="00691F54"/>
    <w:rsid w:val="0069462D"/>
    <w:rsid w:val="00783353"/>
    <w:rsid w:val="007C3CC2"/>
    <w:rsid w:val="00802D5A"/>
    <w:rsid w:val="008C4AD1"/>
    <w:rsid w:val="00922DB5"/>
    <w:rsid w:val="00946B95"/>
    <w:rsid w:val="00965A19"/>
    <w:rsid w:val="009E0713"/>
    <w:rsid w:val="00A45572"/>
    <w:rsid w:val="00A46E2A"/>
    <w:rsid w:val="00A731D5"/>
    <w:rsid w:val="00AE64CB"/>
    <w:rsid w:val="00B812AD"/>
    <w:rsid w:val="00C63ED2"/>
    <w:rsid w:val="00C64889"/>
    <w:rsid w:val="00C92A79"/>
    <w:rsid w:val="00D9681E"/>
    <w:rsid w:val="00DA5F94"/>
    <w:rsid w:val="00EA5604"/>
    <w:rsid w:val="00EB221A"/>
    <w:rsid w:val="00EE6BAB"/>
    <w:rsid w:val="00F263BF"/>
    <w:rsid w:val="00F3354C"/>
    <w:rsid w:val="00F35C28"/>
    <w:rsid w:val="00F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8F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D7"/>
    <w:rPr>
      <w:rFonts w:ascii="Times New Roman" w:eastAsia="MS Mincho" w:hAnsi="Times New Roman" w:cs="Times New Roman"/>
      <w:lang w:val="en-US" w:eastAsia="ja-JP"/>
    </w:rPr>
  </w:style>
  <w:style w:type="paragraph" w:styleId="Heading5">
    <w:name w:val="heading 5"/>
    <w:basedOn w:val="Normal"/>
    <w:link w:val="Heading5Char"/>
    <w:uiPriority w:val="9"/>
    <w:qFormat/>
    <w:rsid w:val="00DA5F94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5ED7"/>
    <w:rPr>
      <w:rFonts w:ascii="Times New Roman" w:eastAsia="MS Mincho" w:hAnsi="Times New Roman" w:cs="Times New Roman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5F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ED7"/>
    <w:rPr>
      <w:rFonts w:ascii="Tahoma" w:eastAsia="MS Mincho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91F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54"/>
    <w:rPr>
      <w:rFonts w:ascii="Times New Roman" w:eastAsia="MS Mincho" w:hAnsi="Times New Roman" w:cs="Times New Roman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A5F94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A5F94"/>
  </w:style>
  <w:style w:type="character" w:styleId="Hyperlink">
    <w:name w:val="Hyperlink"/>
    <w:basedOn w:val="DefaultParagraphFont"/>
    <w:uiPriority w:val="99"/>
    <w:unhideWhenUsed/>
    <w:rsid w:val="0052478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7942"/>
    <w:rPr>
      <w:rFonts w:asciiTheme="minorHAnsi" w:eastAsiaTheme="minorEastAsia" w:hAnsiTheme="minorHAnsi" w:cstheme="minorBidi"/>
      <w:color w:val="00000A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942"/>
    <w:rPr>
      <w:color w:val="00000A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1E79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D7"/>
    <w:rPr>
      <w:rFonts w:ascii="Times New Roman" w:eastAsia="MS Mincho" w:hAnsi="Times New Roman" w:cs="Times New Roman"/>
      <w:lang w:val="en-US" w:eastAsia="ja-JP"/>
    </w:rPr>
  </w:style>
  <w:style w:type="paragraph" w:styleId="Heading5">
    <w:name w:val="heading 5"/>
    <w:basedOn w:val="Normal"/>
    <w:link w:val="Heading5Char"/>
    <w:uiPriority w:val="9"/>
    <w:qFormat/>
    <w:rsid w:val="00DA5F94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5ED7"/>
    <w:rPr>
      <w:rFonts w:ascii="Times New Roman" w:eastAsia="MS Mincho" w:hAnsi="Times New Roman" w:cs="Times New Roman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5F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ED7"/>
    <w:rPr>
      <w:rFonts w:ascii="Tahoma" w:eastAsia="MS Mincho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91F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54"/>
    <w:rPr>
      <w:rFonts w:ascii="Times New Roman" w:eastAsia="MS Mincho" w:hAnsi="Times New Roman" w:cs="Times New Roman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A5F94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A5F94"/>
  </w:style>
  <w:style w:type="character" w:styleId="Hyperlink">
    <w:name w:val="Hyperlink"/>
    <w:basedOn w:val="DefaultParagraphFont"/>
    <w:uiPriority w:val="99"/>
    <w:unhideWhenUsed/>
    <w:rsid w:val="0052478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7942"/>
    <w:rPr>
      <w:rFonts w:asciiTheme="minorHAnsi" w:eastAsiaTheme="minorEastAsia" w:hAnsiTheme="minorHAnsi" w:cstheme="minorBidi"/>
      <w:color w:val="00000A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942"/>
    <w:rPr>
      <w:color w:val="00000A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1E7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2484</Characters>
  <Application>Microsoft Office Word</Application>
  <DocSecurity>0</DocSecurity>
  <Lines>20</Lines>
  <Paragraphs>5</Paragraphs>
  <ScaleCrop>false</ScaleCrop>
  <Company>UCR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Petr</dc:creator>
  <cp:keywords/>
  <dc:description/>
  <cp:lastModifiedBy>Anke Toth</cp:lastModifiedBy>
  <cp:revision>8</cp:revision>
  <cp:lastPrinted>2016-12-13T07:37:00Z</cp:lastPrinted>
  <dcterms:created xsi:type="dcterms:W3CDTF">2018-01-25T19:13:00Z</dcterms:created>
  <dcterms:modified xsi:type="dcterms:W3CDTF">2018-04-04T19:49:00Z</dcterms:modified>
</cp:coreProperties>
</file>