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7DD4" w14:textId="77777777" w:rsidR="00C75A17" w:rsidRPr="00D65CBB" w:rsidRDefault="00BB0C04" w:rsidP="006C4440">
      <w:pPr>
        <w:tabs>
          <w:tab w:val="left" w:pos="360"/>
        </w:tabs>
        <w:jc w:val="center"/>
        <w:rPr>
          <w:rFonts w:ascii="Arial" w:hAnsi="Arial" w:cs="Arial"/>
          <w:b/>
        </w:rPr>
      </w:pPr>
      <w:r>
        <w:rPr>
          <w:rFonts w:ascii="Arial" w:hAnsi="Arial" w:cs="Arial"/>
          <w:b/>
        </w:rPr>
        <w:t xml:space="preserve">Assessing Murine Cardiac Metabolism Using a 10 mm, </w:t>
      </w:r>
      <w:r w:rsidRPr="00BB0C04">
        <w:rPr>
          <w:rFonts w:ascii="Arial" w:hAnsi="Arial" w:cs="Arial"/>
          <w:b/>
          <w:vertAlign w:val="superscript"/>
        </w:rPr>
        <w:t>13</w:t>
      </w:r>
      <w:r>
        <w:rPr>
          <w:rFonts w:ascii="Arial" w:hAnsi="Arial" w:cs="Arial"/>
          <w:b/>
        </w:rPr>
        <w:t>C Optimized Cryoprobe</w:t>
      </w:r>
    </w:p>
    <w:p w14:paraId="3832E47D" w14:textId="77777777" w:rsidR="003E2F8E" w:rsidRPr="006B3824" w:rsidRDefault="003E2F8E" w:rsidP="0049187D">
      <w:pPr>
        <w:tabs>
          <w:tab w:val="left" w:pos="360"/>
        </w:tabs>
        <w:rPr>
          <w:rFonts w:ascii="Arial" w:hAnsi="Arial" w:cs="Arial"/>
          <w:sz w:val="20"/>
          <w:szCs w:val="20"/>
        </w:rPr>
      </w:pPr>
    </w:p>
    <w:p w14:paraId="13746B46" w14:textId="14362063" w:rsidR="00A94FC4" w:rsidRPr="006B3824" w:rsidRDefault="00CD7497" w:rsidP="0049187D">
      <w:pPr>
        <w:tabs>
          <w:tab w:val="left" w:pos="360"/>
        </w:tabs>
        <w:rPr>
          <w:rFonts w:ascii="Arial" w:hAnsi="Arial" w:cs="Arial"/>
          <w:sz w:val="20"/>
          <w:szCs w:val="20"/>
        </w:rPr>
      </w:pPr>
      <w:r>
        <w:rPr>
          <w:rFonts w:ascii="Arial" w:hAnsi="Arial" w:cs="Arial"/>
          <w:sz w:val="20"/>
          <w:szCs w:val="20"/>
        </w:rPr>
        <w:t xml:space="preserve">Ragavan, M., Tsarova, T., </w:t>
      </w:r>
      <w:r w:rsidR="00BB0C04">
        <w:rPr>
          <w:rFonts w:ascii="Arial" w:hAnsi="Arial" w:cs="Arial"/>
          <w:sz w:val="20"/>
          <w:szCs w:val="20"/>
        </w:rPr>
        <w:t>Prieto, F. (UF Biochemistry)</w:t>
      </w:r>
      <w:r>
        <w:rPr>
          <w:rFonts w:ascii="Arial" w:hAnsi="Arial" w:cs="Arial"/>
          <w:sz w:val="20"/>
          <w:szCs w:val="20"/>
        </w:rPr>
        <w:t>;</w:t>
      </w:r>
      <w:r w:rsidR="00BB0C04">
        <w:rPr>
          <w:rFonts w:ascii="Arial" w:hAnsi="Arial" w:cs="Arial"/>
          <w:sz w:val="20"/>
          <w:szCs w:val="20"/>
        </w:rPr>
        <w:t xml:space="preserve"> </w:t>
      </w:r>
      <w:r w:rsidR="00BB0C04" w:rsidRPr="00BB0C04">
        <w:rPr>
          <w:rFonts w:ascii="Arial" w:hAnsi="Arial" w:cs="Arial"/>
          <w:sz w:val="20"/>
          <w:szCs w:val="20"/>
          <w:u w:val="single"/>
        </w:rPr>
        <w:t>Merritt, M.</w:t>
      </w:r>
      <w:r w:rsidR="00BB0C04">
        <w:rPr>
          <w:rFonts w:ascii="Arial" w:hAnsi="Arial" w:cs="Arial"/>
          <w:sz w:val="20"/>
          <w:szCs w:val="20"/>
        </w:rPr>
        <w:t xml:space="preserve"> (UF Biochemistry and NHMFL)</w:t>
      </w:r>
    </w:p>
    <w:p w14:paraId="74442A6D" w14:textId="77777777" w:rsidR="00A94FC4" w:rsidRPr="006B3824" w:rsidRDefault="00A94FC4" w:rsidP="0049187D">
      <w:pPr>
        <w:pBdr>
          <w:bottom w:val="single" w:sz="12" w:space="1" w:color="auto"/>
        </w:pBdr>
        <w:tabs>
          <w:tab w:val="left" w:pos="360"/>
        </w:tabs>
        <w:rPr>
          <w:rFonts w:ascii="Arial" w:hAnsi="Arial" w:cs="Arial"/>
          <w:sz w:val="20"/>
          <w:szCs w:val="20"/>
        </w:rPr>
      </w:pPr>
    </w:p>
    <w:p w14:paraId="761C9B2B"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4279BF53" w14:textId="77777777" w:rsidR="002524EE" w:rsidRPr="006B3824" w:rsidRDefault="006B3824" w:rsidP="00734D2E">
      <w:pPr>
        <w:tabs>
          <w:tab w:val="left" w:pos="360"/>
        </w:tabs>
        <w:rPr>
          <w:rFonts w:ascii="Arial" w:hAnsi="Arial" w:cs="Arial"/>
          <w:sz w:val="20"/>
          <w:szCs w:val="20"/>
        </w:rPr>
      </w:pPr>
      <w:r w:rsidRPr="006B3824">
        <w:rPr>
          <w:rFonts w:ascii="Arial" w:hAnsi="Arial" w:cs="Arial"/>
          <w:sz w:val="20"/>
          <w:szCs w:val="20"/>
        </w:rPr>
        <w:tab/>
      </w:r>
      <w:r w:rsidR="007C0813" w:rsidRPr="006B3824">
        <w:rPr>
          <w:rFonts w:ascii="Arial" w:hAnsi="Arial" w:cs="Arial"/>
          <w:sz w:val="20"/>
          <w:szCs w:val="20"/>
        </w:rPr>
        <w:t xml:space="preserve"> </w:t>
      </w:r>
      <w:bookmarkStart w:id="0" w:name="_GoBack"/>
      <w:bookmarkEnd w:id="0"/>
      <w:r w:rsidR="00734D2E">
        <w:rPr>
          <w:rFonts w:ascii="Arial" w:hAnsi="Arial" w:cs="Arial"/>
          <w:sz w:val="20"/>
          <w:szCs w:val="20"/>
        </w:rPr>
        <w:t xml:space="preserve">Heart failure </w:t>
      </w:r>
      <w:r w:rsidR="00F80703">
        <w:rPr>
          <w:rFonts w:ascii="Arial" w:hAnsi="Arial" w:cs="Arial"/>
          <w:sz w:val="20"/>
          <w:szCs w:val="20"/>
        </w:rPr>
        <w:t>is characterized by a profound shift in energy metabolism. The normal myocardium preferentially consumes fatty acids, with only 20 to 30 % of oxidative metabolism being supplied by glucose. Overpressure of the heart, either from high blood pressure or stenosis, causes myocardial hypertrophy and a switch to carbohydrate</w:t>
      </w:r>
      <w:r w:rsidR="009E78F8">
        <w:rPr>
          <w:rFonts w:ascii="Arial" w:hAnsi="Arial" w:cs="Arial"/>
          <w:sz w:val="20"/>
          <w:szCs w:val="20"/>
        </w:rPr>
        <w:t xml:space="preserve"> oxidation</w:t>
      </w:r>
      <w:r w:rsidR="00F80703">
        <w:rPr>
          <w:rFonts w:ascii="Arial" w:hAnsi="Arial" w:cs="Arial"/>
          <w:sz w:val="20"/>
          <w:szCs w:val="20"/>
        </w:rPr>
        <w:fldChar w:fldCharType="begin"/>
      </w:r>
      <w:r w:rsidR="00F80703">
        <w:rPr>
          <w:rFonts w:ascii="Arial" w:hAnsi="Arial" w:cs="Arial"/>
          <w:sz w:val="20"/>
          <w:szCs w:val="20"/>
        </w:rPr>
        <w:instrText xml:space="preserve"> ADDIN ZOTERO_ITEM CSL_CITATION {"citationID":"a2bsql44fgc","properties":{"formattedCitation":"{\\rtf \\super 1\\nosupersub{}}","plainCitation":"1"},"citationItems":[{"id":198,"uris":["http://zotero.org/users/3053232/items/NAU4M5FS"],"uri":["http://zotero.org/users/3053232/items/NAU4M5FS"],"itemData":{"id":198,"type":"article-journal","title":"Mitochondrial energy metabolism in heart failure: a question of balance","container-title":"Journal of Clinical Investigation","page":"547-555","volume":"115","issue":"3","source":"CrossRef","DOI":"10.1172/JCI24405","ISSN":"0021-9738","shortTitle":"Mitochondrial energy metabolism in heart failure","language":"en","author":[{"family":"Huss","given":"Janice M."},{"family":"Kelly","given":"Daniel P."}],"issued":{"date-parts":[["2005",3,1]]}}}],"schema":"https://github.com/citation-style-language/schema/raw/master/csl-citation.json"} </w:instrText>
      </w:r>
      <w:r w:rsidR="00F80703">
        <w:rPr>
          <w:rFonts w:ascii="Arial" w:hAnsi="Arial" w:cs="Arial"/>
          <w:sz w:val="20"/>
          <w:szCs w:val="20"/>
        </w:rPr>
        <w:fldChar w:fldCharType="separate"/>
      </w:r>
      <w:r w:rsidR="00F80703" w:rsidRPr="00F80703">
        <w:rPr>
          <w:rFonts w:ascii="Arial" w:hAnsi="Arial" w:cs="Arial"/>
          <w:sz w:val="20"/>
          <w:vertAlign w:val="superscript"/>
        </w:rPr>
        <w:t>1</w:t>
      </w:r>
      <w:r w:rsidR="00F80703">
        <w:rPr>
          <w:rFonts w:ascii="Arial" w:hAnsi="Arial" w:cs="Arial"/>
          <w:sz w:val="20"/>
          <w:szCs w:val="20"/>
        </w:rPr>
        <w:fldChar w:fldCharType="end"/>
      </w:r>
      <w:r w:rsidR="00F80703">
        <w:rPr>
          <w:rFonts w:ascii="Arial" w:hAnsi="Arial" w:cs="Arial"/>
          <w:sz w:val="20"/>
          <w:szCs w:val="20"/>
        </w:rPr>
        <w:t xml:space="preserve">. </w:t>
      </w:r>
      <w:r w:rsidR="009E78F8">
        <w:rPr>
          <w:rFonts w:ascii="Arial" w:hAnsi="Arial" w:cs="Arial"/>
          <w:sz w:val="20"/>
          <w:szCs w:val="20"/>
        </w:rPr>
        <w:t>Whether the switch in substrate preference is directly causal of hypertrophy, or a byproduct of it remains debated</w:t>
      </w:r>
      <w:r w:rsidR="009E78F8">
        <w:rPr>
          <w:rFonts w:ascii="Arial" w:hAnsi="Arial" w:cs="Arial"/>
          <w:sz w:val="20"/>
          <w:szCs w:val="20"/>
        </w:rPr>
        <w:fldChar w:fldCharType="begin"/>
      </w:r>
      <w:r w:rsidR="009E78F8">
        <w:rPr>
          <w:rFonts w:ascii="Arial" w:hAnsi="Arial" w:cs="Arial"/>
          <w:sz w:val="20"/>
          <w:szCs w:val="20"/>
        </w:rPr>
        <w:instrText xml:space="preserve"> ADDIN ZOTERO_ITEM CSL_CITATION {"citationID":"a1bkb4a351u","properties":{"formattedCitation":"{\\rtf \\super 2\\nosupersub{}}","plainCitation":"2"},"citationItems":[{"id":199,"uris":["http://zotero.org/users/3053232/items/NHDURJN2"],"uri":["http://zotero.org/users/3053232/items/NHDURJN2"],"itemData":{"id":199,"type":"article-journal","title":"Regulation of fetal gene expression in heart failure","container-title":"Biochimica et Biophysica Acta (BBA) - Molecular Basis of Disease","page":"2414-2424","volume":"1832","issue":"12","source":"ScienceDirect","abstract":"During the processes leading to adverse cardiac remodeling and heart failure, cardiomyocytes react to neurohumoral stimuli and biomechanical stress by activating pathways that induce pathological hypertrophy. The gene expression patterns and molecular changes observed during cardiac hypertrophic remodeling bare resemblance to those observed during fetal cardiac development. The re-activation of fetal genes in the adult failing heart is a complex biological process that involves transcriptional, posttranscriptional and epigenetic regulation of the cardiac genome. In this review, the mechanistic actions of transcription factors, microRNAs and chromatin remodeling processes in regulating fetal gene expression in heart failure are discussed.","DOI":"10.1016/j.bbadis.2013.07.023","ISSN":"0925-4439","journalAbbreviation":"Biochimica et Biophysica Acta (BBA) - Molecular Basis of Disease","author":[{"family":"Dirkx","given":"Ellen"},{"family":"Costa Martins","given":"Paula A.","non-dropping-particle":"da"},{"family":"De Windt","given":"Leon J."}],"issued":{"date-parts":[["2013",12]]}}}],"schema":"https://github.com/citation-style-language/schema/raw/master/csl-citation.json"} </w:instrText>
      </w:r>
      <w:r w:rsidR="009E78F8">
        <w:rPr>
          <w:rFonts w:ascii="Arial" w:hAnsi="Arial" w:cs="Arial"/>
          <w:sz w:val="20"/>
          <w:szCs w:val="20"/>
        </w:rPr>
        <w:fldChar w:fldCharType="separate"/>
      </w:r>
      <w:r w:rsidR="009E78F8" w:rsidRPr="009E78F8">
        <w:rPr>
          <w:rFonts w:ascii="Arial" w:hAnsi="Arial" w:cs="Arial"/>
          <w:sz w:val="20"/>
          <w:vertAlign w:val="superscript"/>
        </w:rPr>
        <w:t>2</w:t>
      </w:r>
      <w:r w:rsidR="009E78F8">
        <w:rPr>
          <w:rFonts w:ascii="Arial" w:hAnsi="Arial" w:cs="Arial"/>
          <w:sz w:val="20"/>
          <w:szCs w:val="20"/>
        </w:rPr>
        <w:fldChar w:fldCharType="end"/>
      </w:r>
      <w:r w:rsidR="009E78F8">
        <w:rPr>
          <w:rFonts w:ascii="Arial" w:hAnsi="Arial" w:cs="Arial"/>
          <w:sz w:val="20"/>
          <w:szCs w:val="20"/>
        </w:rPr>
        <w:t xml:space="preserve">. We have previously measured the ability of propionate to modulate carbohydrate oxidation in the murine heart using hyperpolarized </w:t>
      </w:r>
      <w:r w:rsidR="003732F1">
        <w:rPr>
          <w:rFonts w:ascii="Arial" w:hAnsi="Arial" w:cs="Arial"/>
          <w:sz w:val="20"/>
          <w:szCs w:val="20"/>
        </w:rPr>
        <w:t xml:space="preserve">(HP) </w:t>
      </w:r>
      <w:r w:rsidR="00ED62E2">
        <w:rPr>
          <w:rFonts w:ascii="Arial" w:hAnsi="Arial" w:cs="Arial"/>
          <w:sz w:val="20"/>
          <w:szCs w:val="20"/>
        </w:rPr>
        <w:t>pyruvate</w:t>
      </w:r>
      <w:r w:rsidR="00ED62E2">
        <w:rPr>
          <w:rFonts w:ascii="Arial" w:hAnsi="Arial" w:cs="Arial"/>
          <w:sz w:val="20"/>
          <w:szCs w:val="20"/>
        </w:rPr>
        <w:fldChar w:fldCharType="begin"/>
      </w:r>
      <w:r w:rsidR="00ED62E2">
        <w:rPr>
          <w:rFonts w:ascii="Arial" w:hAnsi="Arial" w:cs="Arial"/>
          <w:sz w:val="20"/>
          <w:szCs w:val="20"/>
        </w:rPr>
        <w:instrText xml:space="preserve"> ADDIN ZOTERO_ITEM CSL_CITATION {"citationID":"a10s4eb8fuq","properties":{"formattedCitation":"{\\rtf \\super 3\\nosupersub{}}","plainCitation":"3"},"citationItems":[{"id":124,"uris":["http://zotero.org/users/3053232/items/CFZHZ2J6"],"uri":["http://zotero.org/users/3053232/items/CFZHZ2J6"],"itemData":{"id":124,"type":"article-journal","title":"Propionate stimulates pyruvate oxidation in the presence of acetate","container-title":"American Journal of Physiology - Heart and Circulatory Physiology","page":"H1134-H1141","volume":"307","issue":"8","source":"ajpheart.physiology.org","abstract":"Flux through pyruvate dehydrogenase (PDH) in the heart may be reduced by various forms of injury to the myocardium, or by oxidation of alternative substrates in normal heart tissue. It is important to distinguish these two mechanisms because imaging of flux through PDH based on the appearance of hyperpolarized (HP) [13C]bicarbonate derived from HP [1-13C]pyruvate has been proposed as a method for identifying viable myocardium. The efficacy of propionate for increasing PDH flux in the setting of PDH inhibition by an alternative substrate was studied using isotopomer analysis paired with exams using HP [1-13C]pyruvate. Hearts from C57/bl6 mice were supplied with acetate (2 mM) and glucose (8.25 mM). 13C NMR spectra were acquired in a cryogenically cooled probe at 14.1 Tesla. After addition of hyperpolarized [1-13C]pyruvate, 13C NMR signals from lactate, alanine, malate, and aspartate were easily detected, in addition to small signals from bicarbonate and CO2. The addition of propionate (2 mM) increased appearance of HP [13C]bicarbonate &gt;30-fold without change in O2 consumption. Isotopomer analysis of extracts from the freeze-clamped hearts indicated that acetate was the preferred substrate for energy production, glucose contribution to energy production was minimal, and anaplerosis was stimulated in the presence of propionate. Under conditions where production of acetyl-CoA is dominated by the availability of an alternative substrate, acetate, propionate markedly stimulated PDH flux as detected by the appearance of hyperpolarized [13C]bicarbonate from metabolism of hyperpolarized [1-13C]pyruvate.","DOI":"10.1152/ajpheart.00407.2014","ISSN":"0363-6135, 1522-1539","note":"PMID: 25320331","language":"en","author":[{"family":"Purmal","given":"Colin"},{"family":"Kucejova","given":"Blanka"},{"family":"Sherry","given":"A. Dean"},{"family":"Burgess","given":"Shawn C."},{"family":"Malloy","given":"Craig R."},{"family":"Merritt","given":"Matthew E."}],"issued":{"date-parts":[["2014",10,15]]}}}],"schema":"https://github.com/citation-style-language/schema/raw/master/csl-citation.json"} </w:instrText>
      </w:r>
      <w:r w:rsidR="00ED62E2">
        <w:rPr>
          <w:rFonts w:ascii="Arial" w:hAnsi="Arial" w:cs="Arial"/>
          <w:sz w:val="20"/>
          <w:szCs w:val="20"/>
        </w:rPr>
        <w:fldChar w:fldCharType="separate"/>
      </w:r>
      <w:r w:rsidR="00ED62E2" w:rsidRPr="00ED62E2">
        <w:rPr>
          <w:rFonts w:ascii="Arial" w:hAnsi="Arial" w:cs="Arial"/>
          <w:sz w:val="20"/>
          <w:vertAlign w:val="superscript"/>
        </w:rPr>
        <w:t>3</w:t>
      </w:r>
      <w:r w:rsidR="00ED62E2">
        <w:rPr>
          <w:rFonts w:ascii="Arial" w:hAnsi="Arial" w:cs="Arial"/>
          <w:sz w:val="20"/>
          <w:szCs w:val="20"/>
        </w:rPr>
        <w:fldChar w:fldCharType="end"/>
      </w:r>
      <w:r w:rsidR="00ED62E2">
        <w:rPr>
          <w:rFonts w:ascii="Arial" w:hAnsi="Arial" w:cs="Arial"/>
          <w:sz w:val="20"/>
          <w:szCs w:val="20"/>
        </w:rPr>
        <w:t xml:space="preserve"> and in experiments directly assessing glucose oxidation</w:t>
      </w:r>
      <w:r w:rsidR="007552AC">
        <w:rPr>
          <w:rFonts w:ascii="Arial" w:hAnsi="Arial" w:cs="Arial"/>
          <w:sz w:val="20"/>
          <w:szCs w:val="20"/>
        </w:rPr>
        <w:fldChar w:fldCharType="begin"/>
      </w:r>
      <w:r w:rsidR="007552AC">
        <w:rPr>
          <w:rFonts w:ascii="Arial" w:hAnsi="Arial" w:cs="Arial"/>
          <w:sz w:val="20"/>
          <w:szCs w:val="20"/>
        </w:rPr>
        <w:instrText xml:space="preserve"> ADDIN ZOTERO_ITEM CSL_CITATION {"citationID":"a283j3ldhfq","properties":{"formattedCitation":"{\\rtf \\super 4\\nosupersub{}}","plainCitation":"4"},"citationItems":[{"id":892,"uris":["http://zotero.org/users/3053232/items/KCQG2NKV"],"uri":["http://zotero.org/users/3053232/items/KCQG2NKV"],"itemData":{"id":892,"type":"article-journal","title":"A comprehensive analysis of myocardial substrate preference emphasizes the need for a synchronized fluxomic/metabolomic research design","container-title":"American Journal of Physiology - Heart and Circulatory Physiology","page":"H1215-H1223","volume":"312","issue":"6","source":"ajpheart.physiology.org","abstract":"The heart oxidizes fatty acids, carbohydrates, and ketone bodies inside the tricarboxylic acid (TCA) cycle to generate the reducing equivalents needed for ATP production. Competition between these substrates makes it difficult to estimate the extent of pyruvate oxidation. Previously, hyperpolarized pyruvate detected propionate-mediated activation of carbohydrate oxidation, even in the presence of acetate. In this report, the optimal concentration of propionate for the activation of glucose oxidation was measured in mouse hearts perfused in Langendorff mode. This study was performed with a more physiologically relevant perfusate than the previous work. Increasing concentrations of propionate did not cause adverse effects on myocardial metabolism, as evidenced by unchanged O2 consumption, TCA cycle flux, and developed pressures. Propionate at 1 mM was sufficient to achieve significant increases in pyruvate dehydrogenase flux (3×), and anaplerosis (6×), as measured by isotopomer analysis. These results further demonstrate the potential of propionate as an aid for the correct estimation of total carbohydrate oxidative capacity in the heart. However, liquid chromotography/mass spectroscopy-based metabolomics detected large changes (~30-fold) in malate and fumarate pool sizes. This observation leads to a key observation regarding mass balance in the TCA cycle; flux through a portion of the cycle can be drastically elevated without changing the O2 consumption.","DOI":"10.1152/ajpheart.00016.2017","ISSN":"0363-6135, 1522-1539","note":"PMID: 28411229","language":"en","author":[{"family":"Ragavan","given":"Mukundan"},{"family":"Kirpich","given":"Alexander"},{"family":"Fu","given":"Xiaorong"},{"family":"Burgess","given":"Shawn C."},{"family":"McIntyre","given":"Lauren M."},{"family":"Merritt","given":"Matthew E."}],"issued":{"date-parts":[["2017",6,1]]}}}],"schema":"https://github.com/citation-style-language/schema/raw/master/csl-citation.json"} </w:instrText>
      </w:r>
      <w:r w:rsidR="007552AC">
        <w:rPr>
          <w:rFonts w:ascii="Arial" w:hAnsi="Arial" w:cs="Arial"/>
          <w:sz w:val="20"/>
          <w:szCs w:val="20"/>
        </w:rPr>
        <w:fldChar w:fldCharType="separate"/>
      </w:r>
      <w:r w:rsidR="007552AC" w:rsidRPr="007552AC">
        <w:rPr>
          <w:rFonts w:ascii="Arial" w:hAnsi="Arial" w:cs="Arial"/>
          <w:sz w:val="20"/>
          <w:vertAlign w:val="superscript"/>
        </w:rPr>
        <w:t>4</w:t>
      </w:r>
      <w:r w:rsidR="007552AC">
        <w:rPr>
          <w:rFonts w:ascii="Arial" w:hAnsi="Arial" w:cs="Arial"/>
          <w:sz w:val="20"/>
          <w:szCs w:val="20"/>
        </w:rPr>
        <w:fldChar w:fldCharType="end"/>
      </w:r>
      <w:r w:rsidR="00ED62E2">
        <w:rPr>
          <w:rFonts w:ascii="Arial" w:hAnsi="Arial" w:cs="Arial"/>
          <w:sz w:val="20"/>
          <w:szCs w:val="20"/>
        </w:rPr>
        <w:t>. Here we detail initial experiments using the same tracer methods in the hypertrophic hea</w:t>
      </w:r>
      <w:r w:rsidR="007552AC">
        <w:rPr>
          <w:rFonts w:ascii="Arial" w:hAnsi="Arial" w:cs="Arial"/>
          <w:sz w:val="20"/>
          <w:szCs w:val="20"/>
        </w:rPr>
        <w:t>r</w:t>
      </w:r>
      <w:r w:rsidR="00ED62E2">
        <w:rPr>
          <w:rFonts w:ascii="Arial" w:hAnsi="Arial" w:cs="Arial"/>
          <w:sz w:val="20"/>
          <w:szCs w:val="20"/>
        </w:rPr>
        <w:t xml:space="preserve">t. </w:t>
      </w:r>
    </w:p>
    <w:p w14:paraId="53ADB2FC"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49B85399" w14:textId="77777777" w:rsidR="00201166" w:rsidRDefault="006B3824" w:rsidP="00201166">
      <w:pPr>
        <w:tabs>
          <w:tab w:val="left" w:pos="360"/>
        </w:tabs>
        <w:rPr>
          <w:rFonts w:ascii="Arial" w:hAnsi="Arial" w:cs="Arial"/>
          <w:sz w:val="20"/>
          <w:szCs w:val="20"/>
        </w:rPr>
      </w:pPr>
      <w:r>
        <w:rPr>
          <w:rFonts w:ascii="Arial" w:hAnsi="Arial" w:cs="Arial"/>
          <w:sz w:val="20"/>
          <w:szCs w:val="20"/>
        </w:rPr>
        <w:tab/>
      </w:r>
      <w:r w:rsidR="00201166">
        <w:rPr>
          <w:rFonts w:ascii="Arial" w:hAnsi="Arial" w:cs="Arial"/>
          <w:sz w:val="20"/>
          <w:szCs w:val="20"/>
        </w:rPr>
        <w:t>Mouse hearts</w:t>
      </w:r>
      <w:r w:rsidR="008A4F90">
        <w:rPr>
          <w:rFonts w:ascii="Arial" w:hAnsi="Arial" w:cs="Arial"/>
          <w:sz w:val="20"/>
          <w:szCs w:val="20"/>
        </w:rPr>
        <w:t xml:space="preserve"> (healthy or failing)</w:t>
      </w:r>
      <w:r w:rsidR="00201166">
        <w:rPr>
          <w:rFonts w:ascii="Arial" w:hAnsi="Arial" w:cs="Arial"/>
          <w:sz w:val="20"/>
          <w:szCs w:val="20"/>
        </w:rPr>
        <w:t xml:space="preserve"> were excised and aorta was cannulated. The hearts were perfused in langendorff mode</w:t>
      </w:r>
      <w:r w:rsidR="008A4F90">
        <w:rPr>
          <w:rFonts w:ascii="Arial" w:hAnsi="Arial" w:cs="Arial"/>
          <w:sz w:val="20"/>
          <w:szCs w:val="20"/>
        </w:rPr>
        <w:t xml:space="preserve"> (with or without propionate)</w:t>
      </w:r>
      <w:r w:rsidR="00201166">
        <w:rPr>
          <w:rFonts w:ascii="Arial" w:hAnsi="Arial" w:cs="Arial"/>
          <w:sz w:val="20"/>
          <w:szCs w:val="20"/>
        </w:rPr>
        <w:t xml:space="preserve"> in an NMR magnet</w:t>
      </w:r>
      <w:r w:rsidR="00201166" w:rsidRPr="006B3824">
        <w:rPr>
          <w:rFonts w:ascii="Arial" w:hAnsi="Arial" w:cs="Arial"/>
          <w:sz w:val="20"/>
          <w:szCs w:val="20"/>
        </w:rPr>
        <w:t xml:space="preserve"> </w:t>
      </w:r>
      <w:r w:rsidR="00201166">
        <w:rPr>
          <w:rFonts w:ascii="Arial" w:hAnsi="Arial" w:cs="Arial"/>
          <w:sz w:val="20"/>
          <w:szCs w:val="20"/>
        </w:rPr>
        <w:t xml:space="preserve">with a field strength of 14.1 T  equipped with a 10 mm Bruker cryoprobe (AMRIS, </w:t>
      </w:r>
      <w:r w:rsidR="00ED62E2">
        <w:rPr>
          <w:rFonts w:ascii="Arial" w:hAnsi="Arial" w:cs="Arial"/>
          <w:sz w:val="20"/>
          <w:szCs w:val="20"/>
        </w:rPr>
        <w:t>UF</w:t>
      </w:r>
      <w:r w:rsidR="00201166">
        <w:rPr>
          <w:rFonts w:ascii="Arial" w:hAnsi="Arial" w:cs="Arial"/>
          <w:sz w:val="20"/>
          <w:szCs w:val="20"/>
        </w:rPr>
        <w:t xml:space="preserve">, Gainesville). Shimming the magnet was accomplished using </w:t>
      </w:r>
      <w:r w:rsidR="00201166" w:rsidRPr="00DF7910">
        <w:rPr>
          <w:rFonts w:ascii="Arial" w:hAnsi="Arial" w:cs="Arial"/>
          <w:sz w:val="20"/>
          <w:szCs w:val="20"/>
          <w:vertAlign w:val="superscript"/>
        </w:rPr>
        <w:t>23</w:t>
      </w:r>
      <w:r w:rsidR="00201166">
        <w:rPr>
          <w:rFonts w:ascii="Arial" w:hAnsi="Arial" w:cs="Arial"/>
          <w:sz w:val="20"/>
          <w:szCs w:val="20"/>
        </w:rPr>
        <w:t xml:space="preserve">Na signal from the heart. After 30 minutes of perfusion, hyperpolarized [1 – </w:t>
      </w:r>
      <w:r w:rsidR="00201166" w:rsidRPr="00DF7910">
        <w:rPr>
          <w:rFonts w:ascii="Arial" w:hAnsi="Arial" w:cs="Arial"/>
          <w:sz w:val="20"/>
          <w:szCs w:val="20"/>
          <w:vertAlign w:val="superscript"/>
        </w:rPr>
        <w:t>13</w:t>
      </w:r>
      <w:r w:rsidR="00201166" w:rsidRPr="00DF7910">
        <w:rPr>
          <w:rFonts w:ascii="Arial" w:hAnsi="Arial" w:cs="Arial"/>
          <w:sz w:val="20"/>
          <w:szCs w:val="20"/>
        </w:rPr>
        <w:t>C</w:t>
      </w:r>
      <w:r w:rsidR="003732F1">
        <w:rPr>
          <w:rFonts w:ascii="Arial" w:hAnsi="Arial" w:cs="Arial"/>
          <w:sz w:val="20"/>
          <w:szCs w:val="20"/>
        </w:rPr>
        <w:t>]</w:t>
      </w:r>
      <w:r w:rsidR="00201166">
        <w:rPr>
          <w:rFonts w:ascii="Arial" w:hAnsi="Arial" w:cs="Arial"/>
          <w:sz w:val="20"/>
          <w:szCs w:val="20"/>
        </w:rPr>
        <w:t xml:space="preserve">pyruvic acid was injected into the heart and </w:t>
      </w:r>
      <w:r w:rsidR="00201166" w:rsidRPr="00DF7910">
        <w:rPr>
          <w:rFonts w:ascii="Arial" w:hAnsi="Arial" w:cs="Arial"/>
          <w:sz w:val="20"/>
          <w:szCs w:val="20"/>
          <w:vertAlign w:val="superscript"/>
        </w:rPr>
        <w:t>13</w:t>
      </w:r>
      <w:r w:rsidR="00201166" w:rsidRPr="00DF7910">
        <w:rPr>
          <w:rFonts w:ascii="Arial" w:hAnsi="Arial" w:cs="Arial"/>
          <w:sz w:val="20"/>
          <w:szCs w:val="20"/>
        </w:rPr>
        <w:t>C</w:t>
      </w:r>
      <w:r w:rsidR="00201166">
        <w:rPr>
          <w:rFonts w:ascii="Arial" w:hAnsi="Arial" w:cs="Arial"/>
          <w:sz w:val="20"/>
          <w:szCs w:val="20"/>
        </w:rPr>
        <w:t xml:space="preserve"> NMR spectra was recorded with a repetition time of 4s using 15° radiofrequency pulses.</w:t>
      </w:r>
    </w:p>
    <w:p w14:paraId="3F6BFD8F" w14:textId="77777777" w:rsidR="00D93DFA" w:rsidRDefault="00D93DFA" w:rsidP="00201166">
      <w:pPr>
        <w:tabs>
          <w:tab w:val="left" w:pos="360"/>
        </w:tabs>
        <w:rPr>
          <w:rFonts w:ascii="Arial" w:hAnsi="Arial" w:cs="Arial"/>
          <w:sz w:val="20"/>
          <w:szCs w:val="20"/>
        </w:rPr>
      </w:pPr>
    </w:p>
    <w:p w14:paraId="2CEB1CC9" w14:textId="4D8462AF" w:rsidR="002524EE" w:rsidRPr="006B3824" w:rsidRDefault="00220BA6" w:rsidP="0049187D">
      <w:pPr>
        <w:tabs>
          <w:tab w:val="left" w:pos="360"/>
        </w:tabs>
        <w:rPr>
          <w:rFonts w:ascii="Arial" w:hAnsi="Arial" w:cs="Arial"/>
          <w:b/>
          <w:sz w:val="20"/>
          <w:szCs w:val="20"/>
        </w:rPr>
      </w:pPr>
      <w:r>
        <w:rPr>
          <w:noProof/>
          <w:lang w:eastAsia="en-US"/>
        </w:rPr>
        <mc:AlternateContent>
          <mc:Choice Requires="wps">
            <w:drawing>
              <wp:anchor distT="45720" distB="45720" distL="114300" distR="114300" simplePos="0" relativeHeight="251657728" behindDoc="0" locked="0" layoutInCell="1" allowOverlap="1" wp14:anchorId="0829B9F2" wp14:editId="2FDBF14D">
                <wp:simplePos x="0" y="0"/>
                <wp:positionH relativeFrom="column">
                  <wp:posOffset>5715</wp:posOffset>
                </wp:positionH>
                <wp:positionV relativeFrom="paragraph">
                  <wp:posOffset>56515</wp:posOffset>
                </wp:positionV>
                <wp:extent cx="4937760" cy="193167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931670"/>
                        </a:xfrm>
                        <a:prstGeom prst="rect">
                          <a:avLst/>
                        </a:prstGeom>
                        <a:solidFill>
                          <a:srgbClr val="FFFFFF"/>
                        </a:solidFill>
                        <a:ln w="9525">
                          <a:solidFill>
                            <a:srgbClr val="000000"/>
                          </a:solidFill>
                          <a:miter lim="800000"/>
                          <a:headEnd/>
                          <a:tailEnd/>
                        </a:ln>
                      </wps:spPr>
                      <wps:txbx>
                        <w:txbxContent>
                          <w:p w14:paraId="0E38A139" w14:textId="77777777" w:rsidR="00734D2E" w:rsidRDefault="00220BA6">
                            <w:pPr>
                              <w:rPr>
                                <w:rFonts w:ascii="Arial" w:hAnsi="Arial" w:cs="Arial"/>
                                <w:sz w:val="20"/>
                                <w:szCs w:val="20"/>
                              </w:rPr>
                            </w:pPr>
                            <w:r>
                              <w:rPr>
                                <w:rFonts w:ascii="Arial" w:hAnsi="Arial" w:cs="Arial"/>
                                <w:noProof/>
                                <w:sz w:val="20"/>
                                <w:szCs w:val="20"/>
                                <w:lang w:eastAsia="en-US"/>
                              </w:rPr>
                              <w:drawing>
                                <wp:inline distT="0" distB="0" distL="0" distR="0" wp14:anchorId="45808820" wp14:editId="6EF31E3F">
                                  <wp:extent cx="2562225" cy="1428750"/>
                                  <wp:effectExtent l="0" t="0" r="0" b="0"/>
                                  <wp:docPr id="34" name="Picture 34" descr="rep_spe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_spec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428750"/>
                                          </a:xfrm>
                                          <a:prstGeom prst="rect">
                                            <a:avLst/>
                                          </a:prstGeom>
                                          <a:noFill/>
                                          <a:ln>
                                            <a:noFill/>
                                          </a:ln>
                                        </pic:spPr>
                                      </pic:pic>
                                    </a:graphicData>
                                  </a:graphic>
                                </wp:inline>
                              </w:drawing>
                            </w:r>
                            <w:r>
                              <w:rPr>
                                <w:rFonts w:ascii="Arial" w:hAnsi="Arial" w:cs="Arial"/>
                                <w:noProof/>
                                <w:sz w:val="20"/>
                                <w:szCs w:val="20"/>
                                <w:lang w:eastAsia="en-US"/>
                              </w:rPr>
                              <w:drawing>
                                <wp:inline distT="0" distB="0" distL="0" distR="0" wp14:anchorId="7FDC42EE" wp14:editId="4000A1F7">
                                  <wp:extent cx="1990725" cy="1428750"/>
                                  <wp:effectExtent l="0" t="0" r="0" b="0"/>
                                  <wp:docPr id="35" name="Picture 35" descr="pdh_p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h_pr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p w14:paraId="2D8DCBAB" w14:textId="77777777" w:rsidR="00734D2E" w:rsidRPr="00734D2E" w:rsidRDefault="00734D2E">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Pr>
                                <w:rFonts w:ascii="Arial" w:hAnsi="Arial" w:cs="Arial"/>
                                <w:sz w:val="18"/>
                                <w:szCs w:val="18"/>
                              </w:rPr>
                              <w:t xml:space="preserve">(left) Sum of 49 </w:t>
                            </w:r>
                            <w:r w:rsidRPr="00DF7910">
                              <w:rPr>
                                <w:rFonts w:ascii="Arial" w:hAnsi="Arial" w:cs="Arial"/>
                                <w:sz w:val="18"/>
                                <w:szCs w:val="18"/>
                                <w:vertAlign w:val="superscript"/>
                              </w:rPr>
                              <w:t>13</w:t>
                            </w:r>
                            <w:r w:rsidRPr="00DF7910">
                              <w:rPr>
                                <w:rFonts w:ascii="Arial" w:hAnsi="Arial" w:cs="Arial"/>
                                <w:sz w:val="18"/>
                                <w:szCs w:val="18"/>
                              </w:rPr>
                              <w:t>C</w:t>
                            </w:r>
                            <w:r>
                              <w:rPr>
                                <w:rFonts w:ascii="Arial" w:hAnsi="Arial" w:cs="Arial"/>
                                <w:sz w:val="18"/>
                                <w:szCs w:val="18"/>
                              </w:rPr>
                              <w:t xml:space="preserve"> NMR spectra recorded subsequent to the injection of HP [1 – </w:t>
                            </w:r>
                            <w:r w:rsidRPr="00DF7910">
                              <w:rPr>
                                <w:rFonts w:ascii="Arial" w:hAnsi="Arial" w:cs="Arial"/>
                                <w:sz w:val="18"/>
                                <w:szCs w:val="18"/>
                                <w:vertAlign w:val="superscript"/>
                              </w:rPr>
                              <w:t>13</w:t>
                            </w:r>
                            <w:r w:rsidRPr="00DF7910">
                              <w:rPr>
                                <w:rFonts w:ascii="Arial" w:hAnsi="Arial" w:cs="Arial"/>
                                <w:sz w:val="18"/>
                                <w:szCs w:val="18"/>
                              </w:rPr>
                              <w:t>C</w:t>
                            </w:r>
                            <w:r>
                              <w:rPr>
                                <w:rFonts w:ascii="Arial" w:hAnsi="Arial" w:cs="Arial"/>
                                <w:sz w:val="18"/>
                                <w:szCs w:val="18"/>
                              </w:rPr>
                              <w:t>] pyruvic acid showing metabolic activity of the heart. (right) Ratio of bicarbonate to pyruvate in perfused healthy and failing (TAC) hearts in the presence and absence of propionate.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29B9F2" id="_x0000_t202" coordsize="21600,21600" o:spt="202" path="m,l,21600r21600,l21600,xe">
                <v:stroke joinstyle="miter"/>
                <v:path gradientshapeok="t" o:connecttype="rect"/>
              </v:shapetype>
              <v:shape id="Text Box 2" o:spid="_x0000_s1026" type="#_x0000_t202" style="position:absolute;margin-left:.45pt;margin-top:4.45pt;width:388.8pt;height:15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">
                <v:textbox>
                  <w:txbxContent>
                    <w:p w14:paraId="0E38A139" w14:textId="77777777" w:rsidR="00734D2E" w:rsidRDefault="00220BA6">
                      <w:pPr>
                        <w:rPr>
                          <w:rFonts w:ascii="Arial" w:hAnsi="Arial" w:cs="Arial"/>
                          <w:sz w:val="20"/>
                          <w:szCs w:val="20"/>
                        </w:rPr>
                      </w:pPr>
                      <w:r>
                        <w:rPr>
                          <w:rFonts w:ascii="Arial" w:hAnsi="Arial" w:cs="Arial"/>
                          <w:noProof/>
                          <w:sz w:val="20"/>
                          <w:szCs w:val="20"/>
                          <w:lang w:eastAsia="en-US"/>
                        </w:rPr>
                        <w:drawing>
                          <wp:inline distT="0" distB="0" distL="0" distR="0" wp14:anchorId="45808820" wp14:editId="6EF31E3F">
                            <wp:extent cx="2562225" cy="1428750"/>
                            <wp:effectExtent l="0" t="0" r="0" b="0"/>
                            <wp:docPr id="34" name="Picture 34" descr="rep_spe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_spec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428750"/>
                                    </a:xfrm>
                                    <a:prstGeom prst="rect">
                                      <a:avLst/>
                                    </a:prstGeom>
                                    <a:noFill/>
                                    <a:ln>
                                      <a:noFill/>
                                    </a:ln>
                                  </pic:spPr>
                                </pic:pic>
                              </a:graphicData>
                            </a:graphic>
                          </wp:inline>
                        </w:drawing>
                      </w:r>
                      <w:r>
                        <w:rPr>
                          <w:rFonts w:ascii="Arial" w:hAnsi="Arial" w:cs="Arial"/>
                          <w:noProof/>
                          <w:sz w:val="20"/>
                          <w:szCs w:val="20"/>
                          <w:lang w:eastAsia="en-US"/>
                        </w:rPr>
                        <w:drawing>
                          <wp:inline distT="0" distB="0" distL="0" distR="0" wp14:anchorId="7FDC42EE" wp14:editId="4000A1F7">
                            <wp:extent cx="1990725" cy="1428750"/>
                            <wp:effectExtent l="0" t="0" r="0" b="0"/>
                            <wp:docPr id="35" name="Picture 35" descr="pdh_p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h_p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p w14:paraId="2D8DCBAB" w14:textId="77777777" w:rsidR="00734D2E" w:rsidRPr="00734D2E" w:rsidRDefault="00734D2E">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Pr>
                          <w:rFonts w:ascii="Arial" w:hAnsi="Arial" w:cs="Arial"/>
                          <w:sz w:val="18"/>
                          <w:szCs w:val="18"/>
                        </w:rPr>
                        <w:t xml:space="preserve">(left) Sum of 49 </w:t>
                      </w:r>
                      <w:r w:rsidRPr="00DF7910">
                        <w:rPr>
                          <w:rFonts w:ascii="Arial" w:hAnsi="Arial" w:cs="Arial"/>
                          <w:sz w:val="18"/>
                          <w:szCs w:val="18"/>
                          <w:vertAlign w:val="superscript"/>
                        </w:rPr>
                        <w:t>13</w:t>
                      </w:r>
                      <w:r w:rsidRPr="00DF7910">
                        <w:rPr>
                          <w:rFonts w:ascii="Arial" w:hAnsi="Arial" w:cs="Arial"/>
                          <w:sz w:val="18"/>
                          <w:szCs w:val="18"/>
                        </w:rPr>
                        <w:t>C</w:t>
                      </w:r>
                      <w:r>
                        <w:rPr>
                          <w:rFonts w:ascii="Arial" w:hAnsi="Arial" w:cs="Arial"/>
                          <w:sz w:val="18"/>
                          <w:szCs w:val="18"/>
                        </w:rPr>
                        <w:t xml:space="preserve"> NMR spectra recorded subsequent to the injection of HP [1 – </w:t>
                      </w:r>
                      <w:r w:rsidRPr="00DF7910">
                        <w:rPr>
                          <w:rFonts w:ascii="Arial" w:hAnsi="Arial" w:cs="Arial"/>
                          <w:sz w:val="18"/>
                          <w:szCs w:val="18"/>
                          <w:vertAlign w:val="superscript"/>
                        </w:rPr>
                        <w:t>13</w:t>
                      </w:r>
                      <w:r w:rsidRPr="00DF7910">
                        <w:rPr>
                          <w:rFonts w:ascii="Arial" w:hAnsi="Arial" w:cs="Arial"/>
                          <w:sz w:val="18"/>
                          <w:szCs w:val="18"/>
                        </w:rPr>
                        <w:t>C</w:t>
                      </w:r>
                      <w:r>
                        <w:rPr>
                          <w:rFonts w:ascii="Arial" w:hAnsi="Arial" w:cs="Arial"/>
                          <w:sz w:val="18"/>
                          <w:szCs w:val="18"/>
                        </w:rPr>
                        <w:t>] pyruvic acid showing metabolic activity of the heart. (right) Ratio of bicarbonate to pyruvate in perfused healthy and failing (TAC) hearts in the presence and absence of propionate.</w:t>
                      </w:r>
                    </w:p>
                  </w:txbxContent>
                </v:textbox>
                <w10:wrap type="square"/>
              </v:shape>
            </w:pict>
          </mc:Fallback>
        </mc:AlternateContent>
      </w:r>
      <w:r w:rsidR="002524EE" w:rsidRPr="006B3824">
        <w:rPr>
          <w:rFonts w:ascii="Arial" w:hAnsi="Arial" w:cs="Arial"/>
          <w:b/>
          <w:sz w:val="20"/>
          <w:szCs w:val="20"/>
        </w:rPr>
        <w:t>Results and Discussion</w:t>
      </w:r>
    </w:p>
    <w:p w14:paraId="52BC0995" w14:textId="77777777" w:rsidR="00E25473" w:rsidRDefault="006B3824" w:rsidP="003732F1">
      <w:pPr>
        <w:tabs>
          <w:tab w:val="left" w:pos="360"/>
        </w:tabs>
        <w:rPr>
          <w:rFonts w:ascii="Arial" w:hAnsi="Arial" w:cs="Arial"/>
          <w:sz w:val="20"/>
          <w:szCs w:val="20"/>
        </w:rPr>
      </w:pPr>
      <w:r>
        <w:rPr>
          <w:rFonts w:ascii="Arial" w:hAnsi="Arial" w:cs="Arial"/>
          <w:sz w:val="20"/>
          <w:szCs w:val="20"/>
        </w:rPr>
        <w:tab/>
      </w:r>
      <w:r w:rsidR="003732F1">
        <w:rPr>
          <w:rFonts w:ascii="Arial" w:hAnsi="Arial" w:cs="Arial"/>
          <w:sz w:val="20"/>
          <w:szCs w:val="20"/>
        </w:rPr>
        <w:t xml:space="preserve">The Oxford HyperSense instrument readily produces signal enhancements of ~20000 fold for pyruvic acid, as measured by dissolution and measurement at room temperature and 14.1 T. Injection of the HP pyruvate into the functioning heart </w:t>
      </w:r>
      <w:r w:rsidR="000B79C3">
        <w:rPr>
          <w:rFonts w:ascii="Arial" w:hAnsi="Arial" w:cs="Arial"/>
          <w:sz w:val="20"/>
          <w:szCs w:val="20"/>
        </w:rPr>
        <w:t xml:space="preserve">results in its rapid metabolism by exchange reactions with lactate and alanine as well as flux through pyruvate dehydrogenase to produce bicarbonate. The 10 mm cryoprobe supported by the MagLab provides an additional 4x gain in SNR for the measurements (Figure 1, Left). Pyruvate oxidation is increased in the hypertrophic heart (Figure 1, right). </w:t>
      </w:r>
    </w:p>
    <w:p w14:paraId="12C88CAC"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32C95968" w14:textId="77777777" w:rsidR="00E25473" w:rsidRDefault="006B3824" w:rsidP="0049187D">
      <w:pPr>
        <w:tabs>
          <w:tab w:val="left" w:pos="360"/>
        </w:tabs>
        <w:rPr>
          <w:rFonts w:ascii="Arial" w:hAnsi="Arial" w:cs="Arial"/>
          <w:sz w:val="20"/>
          <w:szCs w:val="20"/>
        </w:rPr>
      </w:pPr>
      <w:r>
        <w:rPr>
          <w:rFonts w:ascii="Arial" w:hAnsi="Arial" w:cs="Arial"/>
          <w:sz w:val="20"/>
          <w:szCs w:val="20"/>
        </w:rPr>
        <w:tab/>
      </w:r>
      <w:r w:rsidR="000B79C3">
        <w:rPr>
          <w:rFonts w:ascii="Arial" w:hAnsi="Arial" w:cs="Arial"/>
          <w:sz w:val="20"/>
          <w:szCs w:val="20"/>
        </w:rPr>
        <w:t xml:space="preserve">The 10 mm cryoprobe paired with the HyperSense allow substrate selection to be measured in a straightforward manner in the perfused mouse heart. </w:t>
      </w:r>
    </w:p>
    <w:p w14:paraId="7177CA16"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B90AFFF" w14:textId="77777777" w:rsidR="00FB4399" w:rsidRP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ED62E2">
        <w:rPr>
          <w:rFonts w:ascii="Arial" w:eastAsia="Times New Roman" w:hAnsi="Arial" w:cs="Arial"/>
          <w:sz w:val="20"/>
          <w:szCs w:val="20"/>
          <w:lang w:eastAsia="en-US"/>
        </w:rPr>
        <w:t xml:space="preserve">Additonal support was provided through Dr. Merritt’s startup package. </w:t>
      </w:r>
      <w:r w:rsidRPr="00FB4399">
        <w:rPr>
          <w:rFonts w:ascii="Arial" w:hAnsi="Arial" w:cs="Arial"/>
          <w:sz w:val="20"/>
          <w:szCs w:val="20"/>
        </w:rPr>
        <w:t xml:space="preserve"> </w:t>
      </w:r>
    </w:p>
    <w:p w14:paraId="12F30962" w14:textId="77777777" w:rsidR="00F80703"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10BBA156" w14:textId="77777777" w:rsidR="007552AC" w:rsidRPr="007552AC" w:rsidRDefault="00F80703" w:rsidP="007552AC">
      <w:pPr>
        <w:pStyle w:val="Bibliography"/>
        <w:rPr>
          <w:rFonts w:ascii="Arial" w:hAnsi="Arial" w:cs="Arial"/>
          <w:sz w:val="20"/>
        </w:rPr>
      </w:pPr>
      <w:r>
        <w:rPr>
          <w:rFonts w:ascii="Arial" w:hAnsi="Arial" w:cs="Arial"/>
          <w:sz w:val="20"/>
          <w:szCs w:val="20"/>
        </w:rPr>
        <w:fldChar w:fldCharType="begin"/>
      </w:r>
      <w:r w:rsidR="00ED62E2">
        <w:rPr>
          <w:rFonts w:ascii="Arial" w:hAnsi="Arial" w:cs="Arial"/>
          <w:sz w:val="20"/>
          <w:szCs w:val="20"/>
        </w:rPr>
        <w:instrText xml:space="preserve"> ADDIN ZOTERO_BIBL {"custom":[]} CSL_BIBLIOGRAPHY </w:instrText>
      </w:r>
      <w:r>
        <w:rPr>
          <w:rFonts w:ascii="Arial" w:hAnsi="Arial" w:cs="Arial"/>
          <w:sz w:val="20"/>
          <w:szCs w:val="20"/>
        </w:rPr>
        <w:fldChar w:fldCharType="separate"/>
      </w:r>
      <w:r w:rsidR="007552AC" w:rsidRPr="007552AC">
        <w:rPr>
          <w:rFonts w:ascii="Arial" w:hAnsi="Arial" w:cs="Arial"/>
          <w:sz w:val="20"/>
        </w:rPr>
        <w:t>1</w:t>
      </w:r>
      <w:r w:rsidR="007552AC" w:rsidRPr="007552AC">
        <w:rPr>
          <w:rFonts w:ascii="Arial" w:hAnsi="Arial" w:cs="Arial"/>
          <w:sz w:val="20"/>
        </w:rPr>
        <w:tab/>
        <w:t xml:space="preserve">Huss JM, Kelly DP. Mitochondrial energy metabolism in heart failure: a question of balance. </w:t>
      </w:r>
      <w:r w:rsidR="007552AC" w:rsidRPr="007552AC">
        <w:rPr>
          <w:rFonts w:ascii="Arial" w:hAnsi="Arial" w:cs="Arial"/>
          <w:i/>
          <w:iCs/>
          <w:sz w:val="20"/>
        </w:rPr>
        <w:t>J Clin Invest</w:t>
      </w:r>
      <w:r w:rsidR="007552AC" w:rsidRPr="007552AC">
        <w:rPr>
          <w:rFonts w:ascii="Arial" w:hAnsi="Arial" w:cs="Arial"/>
          <w:sz w:val="20"/>
        </w:rPr>
        <w:t xml:space="preserve"> 2005;</w:t>
      </w:r>
      <w:r w:rsidR="007552AC" w:rsidRPr="007552AC">
        <w:rPr>
          <w:rFonts w:ascii="Arial" w:hAnsi="Arial" w:cs="Arial"/>
          <w:b/>
          <w:bCs/>
          <w:sz w:val="20"/>
        </w:rPr>
        <w:t>115</w:t>
      </w:r>
      <w:r w:rsidR="007552AC" w:rsidRPr="007552AC">
        <w:rPr>
          <w:rFonts w:ascii="Arial" w:hAnsi="Arial" w:cs="Arial"/>
          <w:sz w:val="20"/>
        </w:rPr>
        <w:t>:547–55. https://doi.org/10.1172/JCI24405.</w:t>
      </w:r>
    </w:p>
    <w:p w14:paraId="09292495" w14:textId="77777777" w:rsidR="007552AC" w:rsidRPr="007552AC" w:rsidRDefault="007552AC" w:rsidP="007552AC">
      <w:pPr>
        <w:pStyle w:val="Bibliography"/>
        <w:rPr>
          <w:rFonts w:ascii="Arial" w:hAnsi="Arial" w:cs="Arial"/>
          <w:sz w:val="20"/>
        </w:rPr>
      </w:pPr>
      <w:r w:rsidRPr="007552AC">
        <w:rPr>
          <w:rFonts w:ascii="Arial" w:hAnsi="Arial" w:cs="Arial"/>
          <w:sz w:val="20"/>
        </w:rPr>
        <w:t>2</w:t>
      </w:r>
      <w:r w:rsidRPr="007552AC">
        <w:rPr>
          <w:rFonts w:ascii="Arial" w:hAnsi="Arial" w:cs="Arial"/>
          <w:sz w:val="20"/>
        </w:rPr>
        <w:tab/>
        <w:t xml:space="preserve">Dirkx E, da Costa Martins PA, De Windt LJ. Regulation of fetal gene expression in heart failure. </w:t>
      </w:r>
      <w:r w:rsidRPr="007552AC">
        <w:rPr>
          <w:rFonts w:ascii="Arial" w:hAnsi="Arial" w:cs="Arial"/>
          <w:i/>
          <w:iCs/>
          <w:sz w:val="20"/>
        </w:rPr>
        <w:t>Biochim Biophys Acta BBA - Mol Basis Dis</w:t>
      </w:r>
      <w:r w:rsidRPr="007552AC">
        <w:rPr>
          <w:rFonts w:ascii="Arial" w:hAnsi="Arial" w:cs="Arial"/>
          <w:sz w:val="20"/>
        </w:rPr>
        <w:t xml:space="preserve"> 2013;</w:t>
      </w:r>
      <w:r w:rsidRPr="007552AC">
        <w:rPr>
          <w:rFonts w:ascii="Arial" w:hAnsi="Arial" w:cs="Arial"/>
          <w:b/>
          <w:bCs/>
          <w:sz w:val="20"/>
        </w:rPr>
        <w:t>1832</w:t>
      </w:r>
      <w:r w:rsidRPr="007552AC">
        <w:rPr>
          <w:rFonts w:ascii="Arial" w:hAnsi="Arial" w:cs="Arial"/>
          <w:sz w:val="20"/>
        </w:rPr>
        <w:t>:2414–24. https://doi.org/10.1016/j.bbadis.2013.07.023.</w:t>
      </w:r>
    </w:p>
    <w:p w14:paraId="0A6D0E6C" w14:textId="77777777" w:rsidR="007552AC" w:rsidRPr="007552AC" w:rsidRDefault="007552AC" w:rsidP="007552AC">
      <w:pPr>
        <w:pStyle w:val="Bibliography"/>
        <w:rPr>
          <w:rFonts w:ascii="Arial" w:hAnsi="Arial" w:cs="Arial"/>
          <w:sz w:val="20"/>
        </w:rPr>
      </w:pPr>
      <w:r w:rsidRPr="007552AC">
        <w:rPr>
          <w:rFonts w:ascii="Arial" w:hAnsi="Arial" w:cs="Arial"/>
          <w:sz w:val="20"/>
        </w:rPr>
        <w:t>3</w:t>
      </w:r>
      <w:r w:rsidRPr="007552AC">
        <w:rPr>
          <w:rFonts w:ascii="Arial" w:hAnsi="Arial" w:cs="Arial"/>
          <w:sz w:val="20"/>
        </w:rPr>
        <w:tab/>
        <w:t xml:space="preserve">Purmal C, Kucejova B, Sherry AD, Burgess SC, Malloy CR, Merritt ME. Propionate stimulates pyruvate oxidation in the presence of acetate. </w:t>
      </w:r>
      <w:r w:rsidRPr="007552AC">
        <w:rPr>
          <w:rFonts w:ascii="Arial" w:hAnsi="Arial" w:cs="Arial"/>
          <w:i/>
          <w:iCs/>
          <w:sz w:val="20"/>
        </w:rPr>
        <w:t>Am J Physiol - Heart Circ Physiol</w:t>
      </w:r>
      <w:r w:rsidRPr="007552AC">
        <w:rPr>
          <w:rFonts w:ascii="Arial" w:hAnsi="Arial" w:cs="Arial"/>
          <w:sz w:val="20"/>
        </w:rPr>
        <w:t xml:space="preserve"> 2014;</w:t>
      </w:r>
      <w:r w:rsidRPr="007552AC">
        <w:rPr>
          <w:rFonts w:ascii="Arial" w:hAnsi="Arial" w:cs="Arial"/>
          <w:b/>
          <w:bCs/>
          <w:sz w:val="20"/>
        </w:rPr>
        <w:t>307</w:t>
      </w:r>
      <w:r w:rsidRPr="007552AC">
        <w:rPr>
          <w:rFonts w:ascii="Arial" w:hAnsi="Arial" w:cs="Arial"/>
          <w:sz w:val="20"/>
        </w:rPr>
        <w:t>:H1134–41. https://doi.org/10.1152/ajpheart.00407.2014.</w:t>
      </w:r>
    </w:p>
    <w:p w14:paraId="14CEF1BF" w14:textId="571F561B" w:rsidR="007552AC" w:rsidRPr="007552AC" w:rsidRDefault="007552AC" w:rsidP="007552AC">
      <w:pPr>
        <w:pStyle w:val="Bibliography"/>
        <w:rPr>
          <w:rFonts w:ascii="Arial" w:hAnsi="Arial" w:cs="Arial"/>
          <w:sz w:val="20"/>
        </w:rPr>
      </w:pPr>
      <w:r w:rsidRPr="007552AC">
        <w:rPr>
          <w:rFonts w:ascii="Arial" w:hAnsi="Arial" w:cs="Arial"/>
          <w:sz w:val="20"/>
        </w:rPr>
        <w:t>4</w:t>
      </w:r>
      <w:r w:rsidRPr="007552AC">
        <w:rPr>
          <w:rFonts w:ascii="Arial" w:hAnsi="Arial" w:cs="Arial"/>
          <w:sz w:val="20"/>
        </w:rPr>
        <w:tab/>
        <w:t xml:space="preserve">Ragavan M, Kirpich A, Fu X, Burgess SC, McIntyre LM, Merritt ME. A comprehensive analysis of myocardial substrate preference emphasizes the need for a synchronized fluxomic/metabolomic research design. </w:t>
      </w:r>
      <w:r w:rsidRPr="007552AC">
        <w:rPr>
          <w:rFonts w:ascii="Arial" w:hAnsi="Arial" w:cs="Arial"/>
          <w:i/>
          <w:iCs/>
          <w:sz w:val="20"/>
        </w:rPr>
        <w:t>Am J Physiol - Heart Circ Physiol</w:t>
      </w:r>
      <w:r w:rsidRPr="007552AC">
        <w:rPr>
          <w:rFonts w:ascii="Arial" w:hAnsi="Arial" w:cs="Arial"/>
          <w:sz w:val="20"/>
        </w:rPr>
        <w:t xml:space="preserve"> 2017;</w:t>
      </w:r>
      <w:r w:rsidRPr="007552AC">
        <w:rPr>
          <w:rFonts w:ascii="Arial" w:hAnsi="Arial" w:cs="Arial"/>
          <w:b/>
          <w:bCs/>
          <w:sz w:val="20"/>
        </w:rPr>
        <w:t>312</w:t>
      </w:r>
      <w:r w:rsidRPr="007552AC">
        <w:rPr>
          <w:rFonts w:ascii="Arial" w:hAnsi="Arial" w:cs="Arial"/>
          <w:sz w:val="20"/>
        </w:rPr>
        <w:t>:H1215–23. https://doi.org/10.1152/ajpheart.00016.2017</w:t>
      </w:r>
      <w:r w:rsidR="006C5795">
        <w:rPr>
          <w:rFonts w:ascii="Arial" w:hAnsi="Arial" w:cs="Arial"/>
          <w:sz w:val="20"/>
        </w:rPr>
        <w:t>.</w:t>
      </w:r>
    </w:p>
    <w:p w14:paraId="621CDBD1" w14:textId="77777777" w:rsidR="00E25473" w:rsidRPr="00F80703" w:rsidRDefault="00F80703" w:rsidP="00F80703">
      <w:pPr>
        <w:rPr>
          <w:rFonts w:ascii="Arial" w:hAnsi="Arial" w:cs="Arial"/>
          <w:sz w:val="20"/>
          <w:szCs w:val="20"/>
        </w:rPr>
      </w:pPr>
      <w:r>
        <w:rPr>
          <w:rFonts w:ascii="Arial" w:hAnsi="Arial" w:cs="Arial"/>
          <w:sz w:val="20"/>
          <w:szCs w:val="20"/>
        </w:rPr>
        <w:fldChar w:fldCharType="end"/>
      </w:r>
    </w:p>
    <w:sectPr w:rsidR="00E25473" w:rsidRPr="00F80703" w:rsidSect="00450C97">
      <w:headerReference w:type="default" r:id="rId15"/>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5CDB" w14:textId="77777777" w:rsidR="00915F13" w:rsidRDefault="00915F13">
      <w:r>
        <w:separator/>
      </w:r>
    </w:p>
  </w:endnote>
  <w:endnote w:type="continuationSeparator" w:id="0">
    <w:p w14:paraId="219058D6" w14:textId="77777777" w:rsidR="00915F13" w:rsidRDefault="009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7F68E" w14:textId="77777777" w:rsidR="00915F13" w:rsidRDefault="00915F13">
      <w:r>
        <w:separator/>
      </w:r>
    </w:p>
  </w:footnote>
  <w:footnote w:type="continuationSeparator" w:id="0">
    <w:p w14:paraId="36A41FAF" w14:textId="77777777" w:rsidR="00915F13" w:rsidRDefault="0091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F600" w14:textId="77777777" w:rsidR="00F974C6" w:rsidRDefault="00220BA6"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6AAC002D" wp14:editId="638FC059">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26428"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3AD95428"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1CD2F5CB" wp14:editId="642C2FF4">
          <wp:extent cx="523875" cy="628650"/>
          <wp:effectExtent l="0" t="0" r="0" b="0"/>
          <wp:docPr id="48"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A1716"/>
    <w:rsid w:val="000A59A8"/>
    <w:rsid w:val="000B79C3"/>
    <w:rsid w:val="000E1D4F"/>
    <w:rsid w:val="00104A4C"/>
    <w:rsid w:val="00113D92"/>
    <w:rsid w:val="00120180"/>
    <w:rsid w:val="0014131B"/>
    <w:rsid w:val="00141FE9"/>
    <w:rsid w:val="00155AD2"/>
    <w:rsid w:val="00167606"/>
    <w:rsid w:val="00173B9D"/>
    <w:rsid w:val="001836FA"/>
    <w:rsid w:val="0018419E"/>
    <w:rsid w:val="0018697C"/>
    <w:rsid w:val="00187023"/>
    <w:rsid w:val="001D59E4"/>
    <w:rsid w:val="001E526E"/>
    <w:rsid w:val="001E5ECF"/>
    <w:rsid w:val="001E6BF4"/>
    <w:rsid w:val="00201166"/>
    <w:rsid w:val="00220BA6"/>
    <w:rsid w:val="00231335"/>
    <w:rsid w:val="00233F11"/>
    <w:rsid w:val="00241739"/>
    <w:rsid w:val="002426D5"/>
    <w:rsid w:val="002524EE"/>
    <w:rsid w:val="00265A15"/>
    <w:rsid w:val="00290223"/>
    <w:rsid w:val="002B05CC"/>
    <w:rsid w:val="002C7675"/>
    <w:rsid w:val="00306550"/>
    <w:rsid w:val="00312C04"/>
    <w:rsid w:val="00334CEB"/>
    <w:rsid w:val="003560D2"/>
    <w:rsid w:val="00363C8F"/>
    <w:rsid w:val="003732F1"/>
    <w:rsid w:val="00376D2C"/>
    <w:rsid w:val="00393065"/>
    <w:rsid w:val="003A1FF5"/>
    <w:rsid w:val="003C6493"/>
    <w:rsid w:val="003E2F8E"/>
    <w:rsid w:val="003F55A7"/>
    <w:rsid w:val="003F6E7E"/>
    <w:rsid w:val="00410D2C"/>
    <w:rsid w:val="00420894"/>
    <w:rsid w:val="00427484"/>
    <w:rsid w:val="00450C97"/>
    <w:rsid w:val="00486FF9"/>
    <w:rsid w:val="0049187D"/>
    <w:rsid w:val="00491C5D"/>
    <w:rsid w:val="004A227C"/>
    <w:rsid w:val="004A5EB2"/>
    <w:rsid w:val="004F160B"/>
    <w:rsid w:val="004F709E"/>
    <w:rsid w:val="005034C0"/>
    <w:rsid w:val="00511F7E"/>
    <w:rsid w:val="005173CE"/>
    <w:rsid w:val="0053142A"/>
    <w:rsid w:val="005452B9"/>
    <w:rsid w:val="00583BC3"/>
    <w:rsid w:val="005A1B84"/>
    <w:rsid w:val="005C4422"/>
    <w:rsid w:val="005C4667"/>
    <w:rsid w:val="005C5648"/>
    <w:rsid w:val="00625028"/>
    <w:rsid w:val="00627F7D"/>
    <w:rsid w:val="00643B61"/>
    <w:rsid w:val="006612DC"/>
    <w:rsid w:val="00672D41"/>
    <w:rsid w:val="006901A7"/>
    <w:rsid w:val="006B3824"/>
    <w:rsid w:val="006C4440"/>
    <w:rsid w:val="006C5795"/>
    <w:rsid w:val="006D745E"/>
    <w:rsid w:val="006E2CE0"/>
    <w:rsid w:val="006E4A9F"/>
    <w:rsid w:val="007207FF"/>
    <w:rsid w:val="00731C19"/>
    <w:rsid w:val="00734D2E"/>
    <w:rsid w:val="00734E94"/>
    <w:rsid w:val="007552AC"/>
    <w:rsid w:val="00756023"/>
    <w:rsid w:val="00764FB5"/>
    <w:rsid w:val="00771745"/>
    <w:rsid w:val="00774A49"/>
    <w:rsid w:val="007A33B5"/>
    <w:rsid w:val="007B7DC3"/>
    <w:rsid w:val="007C0813"/>
    <w:rsid w:val="007D3105"/>
    <w:rsid w:val="007E2F28"/>
    <w:rsid w:val="00862CB5"/>
    <w:rsid w:val="00883638"/>
    <w:rsid w:val="008A1D84"/>
    <w:rsid w:val="008A4F90"/>
    <w:rsid w:val="008B05B8"/>
    <w:rsid w:val="008C5788"/>
    <w:rsid w:val="008E5BC5"/>
    <w:rsid w:val="008E5C85"/>
    <w:rsid w:val="008F35CC"/>
    <w:rsid w:val="008F6083"/>
    <w:rsid w:val="00915F13"/>
    <w:rsid w:val="009648AC"/>
    <w:rsid w:val="009A39F6"/>
    <w:rsid w:val="009A3F73"/>
    <w:rsid w:val="009B41B2"/>
    <w:rsid w:val="009C318D"/>
    <w:rsid w:val="009C3DF0"/>
    <w:rsid w:val="009C7F31"/>
    <w:rsid w:val="009D39A4"/>
    <w:rsid w:val="009E4F1E"/>
    <w:rsid w:val="009E78F8"/>
    <w:rsid w:val="00A1227A"/>
    <w:rsid w:val="00A55035"/>
    <w:rsid w:val="00A57FD9"/>
    <w:rsid w:val="00A758E6"/>
    <w:rsid w:val="00A94FC4"/>
    <w:rsid w:val="00A97CB0"/>
    <w:rsid w:val="00AC297F"/>
    <w:rsid w:val="00AC4AFE"/>
    <w:rsid w:val="00AD3CDD"/>
    <w:rsid w:val="00AD6D3C"/>
    <w:rsid w:val="00AE142B"/>
    <w:rsid w:val="00AF7C63"/>
    <w:rsid w:val="00B00CDB"/>
    <w:rsid w:val="00B25148"/>
    <w:rsid w:val="00B25D4D"/>
    <w:rsid w:val="00B45112"/>
    <w:rsid w:val="00B5585D"/>
    <w:rsid w:val="00B71405"/>
    <w:rsid w:val="00B75DC9"/>
    <w:rsid w:val="00B938F1"/>
    <w:rsid w:val="00B94321"/>
    <w:rsid w:val="00B95FCB"/>
    <w:rsid w:val="00B96080"/>
    <w:rsid w:val="00BA00BE"/>
    <w:rsid w:val="00BA7096"/>
    <w:rsid w:val="00BB0C04"/>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D4959"/>
    <w:rsid w:val="00CD7497"/>
    <w:rsid w:val="00CE3F90"/>
    <w:rsid w:val="00D01F6B"/>
    <w:rsid w:val="00D0313F"/>
    <w:rsid w:val="00D07879"/>
    <w:rsid w:val="00D1756D"/>
    <w:rsid w:val="00D65CBB"/>
    <w:rsid w:val="00D67B56"/>
    <w:rsid w:val="00D851F6"/>
    <w:rsid w:val="00D93DFA"/>
    <w:rsid w:val="00DC2A47"/>
    <w:rsid w:val="00DD44E5"/>
    <w:rsid w:val="00DE3216"/>
    <w:rsid w:val="00E04B24"/>
    <w:rsid w:val="00E07ED9"/>
    <w:rsid w:val="00E25473"/>
    <w:rsid w:val="00E411D1"/>
    <w:rsid w:val="00E43BB4"/>
    <w:rsid w:val="00E5095B"/>
    <w:rsid w:val="00E57E61"/>
    <w:rsid w:val="00E60509"/>
    <w:rsid w:val="00EA1E33"/>
    <w:rsid w:val="00EB489A"/>
    <w:rsid w:val="00EB515D"/>
    <w:rsid w:val="00EB5BAE"/>
    <w:rsid w:val="00ED62E2"/>
    <w:rsid w:val="00F0475E"/>
    <w:rsid w:val="00F23F2F"/>
    <w:rsid w:val="00F31351"/>
    <w:rsid w:val="00F31B06"/>
    <w:rsid w:val="00F43581"/>
    <w:rsid w:val="00F4530F"/>
    <w:rsid w:val="00F45B22"/>
    <w:rsid w:val="00F52E02"/>
    <w:rsid w:val="00F54466"/>
    <w:rsid w:val="00F80703"/>
    <w:rsid w:val="00F8198A"/>
    <w:rsid w:val="00F908F6"/>
    <w:rsid w:val="00F91CC0"/>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7613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link w:val="FooterChar"/>
    <w:uiPriority w:val="99"/>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customStyle="1" w:styleId="FooterChar">
    <w:name w:val="Footer Char"/>
    <w:link w:val="Footer"/>
    <w:uiPriority w:val="99"/>
    <w:rsid w:val="00F80703"/>
    <w:rPr>
      <w:sz w:val="24"/>
      <w:szCs w:val="24"/>
      <w:lang w:eastAsia="ja-JP"/>
    </w:rPr>
  </w:style>
  <w:style w:type="paragraph" w:styleId="Bibliography">
    <w:name w:val="Bibliography"/>
    <w:basedOn w:val="Normal"/>
    <w:next w:val="Normal"/>
    <w:uiPriority w:val="37"/>
    <w:unhideWhenUsed/>
    <w:rsid w:val="00F80703"/>
    <w:pPr>
      <w:tabs>
        <w:tab w:val="left" w:pos="144"/>
      </w:tabs>
      <w:ind w:left="144" w:hanging="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link w:val="FooterChar"/>
    <w:uiPriority w:val="99"/>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customStyle="1" w:styleId="FooterChar">
    <w:name w:val="Footer Char"/>
    <w:link w:val="Footer"/>
    <w:uiPriority w:val="99"/>
    <w:rsid w:val="00F80703"/>
    <w:rPr>
      <w:sz w:val="24"/>
      <w:szCs w:val="24"/>
      <w:lang w:eastAsia="ja-JP"/>
    </w:rPr>
  </w:style>
  <w:style w:type="paragraph" w:styleId="Bibliography">
    <w:name w:val="Bibliography"/>
    <w:basedOn w:val="Normal"/>
    <w:next w:val="Normal"/>
    <w:uiPriority w:val="37"/>
    <w:unhideWhenUsed/>
    <w:rsid w:val="00F80703"/>
    <w:pPr>
      <w:tabs>
        <w:tab w:val="left" w:pos="144"/>
      </w:tabs>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5BBB6-846D-45CD-96B5-CBABE0E01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3</cp:revision>
  <cp:lastPrinted>2015-07-15T20:10:00Z</cp:lastPrinted>
  <dcterms:created xsi:type="dcterms:W3CDTF">2018-02-02T14:30:00Z</dcterms:created>
  <dcterms:modified xsi:type="dcterms:W3CDTF">2018-04-04T19:24:00Z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id="ht2FvgCL"/&gt;&lt;style id="http://www.zotero.org/styles/national-institute-of-health-research" hasBibliography="1" bibliographyStyleHasBeenSet="1"/&gt;&lt;prefs&gt;&lt;pref name="fieldType" value="Field"/&gt;&lt;pref n</vt:lpwstr>
  </property>
  <property fmtid="{D5CDD505-2E9C-101B-9397-08002B2CF9AE}" pid="3" name="ZOTERO_PREF_2">
    <vt:lpwstr>ame="automaticJournalAbbreviations" value="true"/&gt;&lt;pref name="noteType" value="0"/&gt;&lt;/prefs&gt;&lt;/data&gt;</vt:lpwstr>
  </property>
</Properties>
</file>