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9" w:rsidRDefault="00F83258" w:rsidP="003225B2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Functional activity in the sensorimotor cortex and cerebellum relates </w:t>
      </w:r>
    </w:p>
    <w:p w:rsidR="003225B2" w:rsidRPr="00D65CBB" w:rsidRDefault="00F83258" w:rsidP="003225B2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cervical dyst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nia</w:t>
      </w:r>
    </w:p>
    <w:p w:rsidR="003225B2" w:rsidRPr="006B3824" w:rsidRDefault="003225B2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83258" w:rsidRDefault="00F83258" w:rsidP="00F8325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Burciu, R.G. (Univ. of Florida, Applied Physiology); Hess, C.W. (Univ. of Flo</w:t>
      </w:r>
      <w:r w:rsidR="00982E59">
        <w:rPr>
          <w:rFonts w:ascii="Arial" w:hAnsi="Arial" w:cs="Arial"/>
          <w:sz w:val="20"/>
          <w:szCs w:val="20"/>
        </w:rPr>
        <w:t xml:space="preserve">rida, Neurology); Coombes, S.A., </w:t>
      </w:r>
      <w:r>
        <w:rPr>
          <w:rFonts w:ascii="Arial" w:hAnsi="Arial" w:cs="Arial"/>
          <w:sz w:val="20"/>
          <w:szCs w:val="20"/>
        </w:rPr>
        <w:t>Ofori, E.</w:t>
      </w:r>
      <w:r w:rsidR="00982E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Shukla</w:t>
      </w:r>
      <w:r w:rsidR="00982E59">
        <w:rPr>
          <w:rFonts w:ascii="Arial" w:hAnsi="Arial" w:cs="Arial"/>
          <w:sz w:val="20"/>
          <w:szCs w:val="20"/>
        </w:rPr>
        <w:t xml:space="preserve">, P., </w:t>
      </w:r>
      <w:r>
        <w:rPr>
          <w:rFonts w:ascii="Arial" w:hAnsi="Arial" w:cs="Arial"/>
          <w:sz w:val="20"/>
          <w:szCs w:val="20"/>
        </w:rPr>
        <w:t xml:space="preserve">Chung, J.W. (Univ. of Florida, Applied </w:t>
      </w:r>
      <w:r w:rsidR="00A34121">
        <w:rPr>
          <w:rFonts w:ascii="Arial" w:hAnsi="Arial" w:cs="Arial"/>
          <w:sz w:val="20"/>
          <w:szCs w:val="20"/>
        </w:rPr>
        <w:t>Physiology</w:t>
      </w:r>
      <w:r>
        <w:rPr>
          <w:rFonts w:ascii="Arial" w:hAnsi="Arial" w:cs="Arial"/>
          <w:sz w:val="20"/>
          <w:szCs w:val="20"/>
        </w:rPr>
        <w:t xml:space="preserve">); Okun, M.S. (Univ. of Florida, Neurology); </w:t>
      </w:r>
      <w:r w:rsidRPr="00982E59">
        <w:rPr>
          <w:rFonts w:ascii="Arial" w:hAnsi="Arial" w:cs="Arial"/>
          <w:sz w:val="20"/>
          <w:szCs w:val="20"/>
          <w:u w:val="single"/>
        </w:rPr>
        <w:t>Vaillancourt, D.E.</w:t>
      </w:r>
      <w:r>
        <w:rPr>
          <w:rFonts w:ascii="Arial" w:hAnsi="Arial" w:cs="Arial"/>
          <w:sz w:val="20"/>
          <w:szCs w:val="20"/>
        </w:rPr>
        <w:t xml:space="preserve"> (Univ. of Flor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da, Applied Physiology)</w:t>
      </w:r>
    </w:p>
    <w:p w:rsidR="003225B2" w:rsidRPr="006B3824" w:rsidRDefault="003225B2" w:rsidP="003225B2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743EF" w:rsidRPr="00847000" w:rsidRDefault="003225B2" w:rsidP="0084700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F83258" w:rsidRPr="00EB62BE" w:rsidRDefault="00F83258" w:rsidP="00982E5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Cervical dystonia (CD) is the most common type of focal dystonia, causing abnormal movements of the neck and head.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</w:t>
      </w:r>
      <w:r w:rsidR="00EB62BE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Advances are being made in understanding the brain changes associated with dystonia using noninv</w:t>
      </w:r>
      <w:r w:rsidR="00EB62BE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a</w:t>
      </w:r>
      <w:r w:rsidR="00EB62BE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sive imaging methods such as resting-state and task-based functional magnetic resonance imaging (fMRI)</w:t>
      </w:r>
      <w:r w:rsid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[1-2]</w:t>
      </w:r>
      <w:r w:rsidR="00EB62BE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. </w:t>
      </w:r>
      <w:r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In this study, we used noninvasive imaging to 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investigate the motor system of </w:t>
      </w:r>
      <w:r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patients with CD and uncover the neural correlates of dystonic symptoms. 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Furthermore, we examined </w:t>
      </w:r>
      <w:r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whether a commonly prescribed anticholine</w:t>
      </w:r>
      <w:r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r</w:t>
      </w:r>
      <w:r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gic medication in CD has an effect on the dyst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onia-related brain </w:t>
      </w:r>
      <w:r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abnormalities.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We tested the following hypoth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e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ses: (1) dystonic symptoms will relate to differences in functional activity between CD and controls; (2) one dose of trihexyphenidyl will alter part of the affected functional network; and (3) one dose of trihexyphenidyl will not a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f</w:t>
      </w:r>
      <w:r w:rsidR="00D16FCB" w:rsidRPr="00EB62BE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fect structural integrity of the brain as assessed with diffusion and structural MRI.</w:t>
      </w:r>
    </w:p>
    <w:p w:rsidR="00F83258" w:rsidRPr="00AD427C" w:rsidRDefault="00F83258" w:rsidP="00F83258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3225B2" w:rsidRPr="001F281E" w:rsidRDefault="003225B2" w:rsidP="003225B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1F281E">
        <w:rPr>
          <w:rFonts w:ascii="Arial" w:hAnsi="Arial" w:cs="Arial"/>
          <w:b/>
          <w:sz w:val="20"/>
          <w:szCs w:val="20"/>
        </w:rPr>
        <w:t>Experimental</w:t>
      </w:r>
    </w:p>
    <w:p w:rsidR="001F281E" w:rsidRPr="00D467E2" w:rsidRDefault="00D467E2" w:rsidP="00982E5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Participants included 16 patients with CD and 16 healthy age-matched controls. We collected functional MRI scans during a force task previously shown to extensively engage the motor system, and diffusion and T1-weighted MRI scans from which we calculated free-water and brain tissue densities. The dystonia group was also scanned ca. 2 h after a 2-mg dose of trihexyphenidyl. Severity of dystonia was assessed pre- and post-drug using the Burke–Fahn–Marsden Dystonia Rating Scale</w:t>
      </w:r>
    </w:p>
    <w:p w:rsidR="00D467E2" w:rsidRPr="00AD427C" w:rsidRDefault="00D467E2" w:rsidP="00B21889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B21889" w:rsidRPr="00B21889" w:rsidRDefault="0023305D" w:rsidP="00B2188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B21889" w:rsidRPr="00D467E2" w:rsidRDefault="00D467E2" w:rsidP="00982E5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Motor-related activity in CD was altered relative to controls in the primary somatosensory cortex, cerebe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l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lum, dorsal premotor and posterior parietal cortices, and occipital cortex. A regression model showed that increased severity of symptoms was associated with decreased functional activity of the somatosensory cortex and i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n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creased activity of the cerebellum. Structural imaging measures did not differ between CD and controls. The si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n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gle dose of trihexyphenidyl altered the fMRI signal in the somatosensory cortex but not in the cerebellum. Sym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tom severity was not significantly reduced post-treatment.</w:t>
      </w:r>
    </w:p>
    <w:p w:rsidR="00D467E2" w:rsidRDefault="00AD427C" w:rsidP="00D467E2">
      <w:pPr>
        <w:tabs>
          <w:tab w:val="left" w:pos="360"/>
        </w:tabs>
        <w:rPr>
          <w:rFonts w:ascii="AdvP7C2E" w:eastAsiaTheme="minorHAnsi" w:hAnsi="AdvP7C2E" w:cs="AdvP7C2E"/>
          <w:color w:val="231F20"/>
          <w:sz w:val="18"/>
          <w:szCs w:val="18"/>
          <w:lang w:eastAsia="en-US"/>
        </w:rPr>
      </w:pPr>
      <w:r w:rsidRPr="0023305D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B4B8" wp14:editId="3615B7E2">
                <wp:simplePos x="0" y="0"/>
                <wp:positionH relativeFrom="column">
                  <wp:posOffset>3431540</wp:posOffset>
                </wp:positionH>
                <wp:positionV relativeFrom="paragraph">
                  <wp:posOffset>156845</wp:posOffset>
                </wp:positionV>
                <wp:extent cx="3017520" cy="13989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B2" w:rsidRPr="00D467E2" w:rsidRDefault="003225B2" w:rsidP="00D467E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67E2" w:rsidRPr="00D467E2"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  <w:t>Differences in task-related fMRI activity b</w:t>
                            </w:r>
                            <w:r w:rsidR="00D467E2" w:rsidRPr="00D467E2"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="00D467E2" w:rsidRPr="00D467E2"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  <w:t>tween controls and CD patients tested off medic</w:t>
                            </w:r>
                            <w:r w:rsidR="00D467E2" w:rsidRPr="00D467E2"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  <w:t>a</w:t>
                            </w:r>
                            <w:r w:rsidR="00D467E2" w:rsidRPr="00D467E2"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  <w:t>tion (A). Regression model illustrating the relation between dystonic symptoms off medication as assessed by</w:t>
                            </w:r>
                            <w:r w:rsidR="00D467E2"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467E2" w:rsidRPr="00D467E2">
                              <w:rPr>
                                <w:rFonts w:ascii="Arial" w:eastAsiaTheme="minorHAnsi" w:hAnsi="Arial" w:cs="Arial"/>
                                <w:color w:val="231F20"/>
                                <w:sz w:val="20"/>
                                <w:szCs w:val="20"/>
                                <w:lang w:eastAsia="en-US"/>
                              </w:rPr>
                              <w:t>BFMDRS and the predicted values for BFMDRS off medication based on the percent signal change in the right primary somatosensory cortex, and right lobule VI of the cerebellum (B).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84B4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2pt;margin-top:12.35pt;width:237.6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iQhAIAABA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" stroked="f">
                <v:textbox>
                  <w:txbxContent>
                    <w:p w:rsidR="003225B2" w:rsidRPr="00D467E2" w:rsidRDefault="003225B2" w:rsidP="00D467E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231F20"/>
                          <w:sz w:val="20"/>
                          <w:szCs w:val="20"/>
                          <w:lang w:eastAsia="en-US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467E2" w:rsidRPr="00D467E2">
                        <w:rPr>
                          <w:rFonts w:ascii="Arial" w:eastAsiaTheme="minorHAnsi" w:hAnsi="Arial" w:cs="Arial"/>
                          <w:color w:val="231F20"/>
                          <w:sz w:val="20"/>
                          <w:szCs w:val="20"/>
                          <w:lang w:eastAsia="en-US"/>
                        </w:rPr>
                        <w:t>Differences in task-related fMRI activity between controls and CD patients tested off medication (A). Regression model illustrating the relation between dystonic symptoms off medication as assessed by</w:t>
                      </w:r>
                      <w:r w:rsidR="00D467E2">
                        <w:rPr>
                          <w:rFonts w:ascii="Arial" w:eastAsiaTheme="minorHAnsi" w:hAnsi="Arial" w:cs="Arial"/>
                          <w:color w:val="231F2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467E2" w:rsidRPr="00D467E2">
                        <w:rPr>
                          <w:rFonts w:ascii="Arial" w:eastAsiaTheme="minorHAnsi" w:hAnsi="Arial" w:cs="Arial"/>
                          <w:color w:val="231F20"/>
                          <w:sz w:val="20"/>
                          <w:szCs w:val="20"/>
                          <w:lang w:eastAsia="en-US"/>
                        </w:rPr>
                        <w:t>BFMDRS and the predicted values for BFMDRS off medication based on the percent signal change in the right primary somatosensory cortex, and right lobule VI of the cerebellum (B).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7E2">
        <w:rPr>
          <w:rFonts w:ascii="AdvP7C2E" w:eastAsiaTheme="minorHAnsi" w:hAnsi="AdvP7C2E" w:cs="AdvP7C2E"/>
          <w:noProof/>
          <w:color w:val="231F20"/>
          <w:sz w:val="18"/>
          <w:szCs w:val="1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3410585" cy="1590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889" w:rsidRPr="00D467E2" w:rsidRDefault="00B21889" w:rsidP="003225B2">
      <w:pPr>
        <w:tabs>
          <w:tab w:val="left" w:pos="360"/>
        </w:tabs>
        <w:rPr>
          <w:rFonts w:ascii="AdvP7C2E" w:eastAsiaTheme="minorHAnsi" w:hAnsi="AdvP7C2E" w:cs="AdvP7C2E"/>
          <w:color w:val="231F20"/>
          <w:sz w:val="18"/>
          <w:szCs w:val="18"/>
          <w:lang w:eastAsia="en-US"/>
        </w:rPr>
      </w:pPr>
    </w:p>
    <w:p w:rsidR="003225B2" w:rsidRPr="006B3824" w:rsidRDefault="003225B2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D467E2" w:rsidRPr="00D467E2" w:rsidRDefault="00D467E2" w:rsidP="00982E5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The results of this study demonstrate widespread abnormalities in functional brain activity in CD, and an a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soci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a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tion between increased severity of dystonic symptoms and reduced functional activity in S1 and increased fun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c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tional activity in the cerebellum. </w:t>
      </w:r>
      <w:r>
        <w:rPr>
          <w:rFonts w:ascii="Arial" w:eastAsiaTheme="minorHAnsi" w:hAnsi="Arial" w:cs="Arial"/>
          <w:color w:val="231F20"/>
          <w:sz w:val="20"/>
          <w:szCs w:val="20"/>
          <w:lang w:eastAsia="en-US"/>
        </w:rPr>
        <w:t>T</w:t>
      </w:r>
      <w:r w:rsidRPr="00D467E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hese findings provide new insights into pathophysiology of the disease and may spur the development of new treatment actions in CD by providing targets (e.g., S1 and/or cerebellum) for clinical or drug interventions.</w:t>
      </w:r>
    </w:p>
    <w:p w:rsidR="00D467E2" w:rsidRPr="00AD427C" w:rsidRDefault="00D467E2" w:rsidP="00D467E2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3225B2" w:rsidRDefault="003225B2" w:rsidP="003225B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3225B2" w:rsidRPr="00491C5D" w:rsidRDefault="00982E59" w:rsidP="003225B2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bookmarkStart w:id="0" w:name="_GoBack"/>
      <w:bookmarkEnd w:id="0"/>
      <w:r w:rsidR="003225B2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</w:t>
      </w:r>
      <w:r w:rsidR="003225B2" w:rsidRPr="00334CEB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3225B2" w:rsidRPr="00334CEB">
        <w:rPr>
          <w:rFonts w:ascii="Arial" w:eastAsia="Times New Roman" w:hAnsi="Arial" w:cs="Arial"/>
          <w:sz w:val="20"/>
          <w:szCs w:val="20"/>
          <w:lang w:eastAsia="en-US"/>
        </w:rPr>
        <w:t>tional Science Foundation Coopera</w:t>
      </w:r>
      <w:r w:rsidR="003225B2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="003225B2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225B2">
        <w:rPr>
          <w:rFonts w:ascii="Arial" w:eastAsia="Times New Roman" w:hAnsi="Arial" w:cs="Arial"/>
          <w:sz w:val="20"/>
          <w:szCs w:val="20"/>
          <w:lang w:eastAsia="en-US"/>
        </w:rPr>
        <w:t>e of Florida. This study was funded by the National Institutes of Health (RO1 NS52318, ROI NS75012, T32 NS082169).</w:t>
      </w:r>
    </w:p>
    <w:p w:rsidR="00AD427C" w:rsidRPr="00AD427C" w:rsidRDefault="00AD427C" w:rsidP="003225B2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3225B2" w:rsidRDefault="003225B2" w:rsidP="003225B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225B2" w:rsidRDefault="003225B2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</w:r>
      <w:r w:rsidR="00EB62BE">
        <w:rPr>
          <w:rFonts w:ascii="Arial" w:hAnsi="Arial" w:cs="Arial"/>
          <w:sz w:val="20"/>
          <w:szCs w:val="20"/>
        </w:rPr>
        <w:t>Battistella</w:t>
      </w:r>
      <w:r>
        <w:rPr>
          <w:rFonts w:ascii="Arial" w:hAnsi="Arial" w:cs="Arial"/>
          <w:sz w:val="20"/>
          <w:szCs w:val="20"/>
        </w:rPr>
        <w:t xml:space="preserve">, </w:t>
      </w:r>
      <w:r w:rsidR="00EB62B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., </w:t>
      </w:r>
      <w:r w:rsidR="00EB62BE" w:rsidRPr="00EB62BE">
        <w:rPr>
          <w:rFonts w:ascii="Arial" w:hAnsi="Arial" w:cs="Arial"/>
          <w:i/>
          <w:sz w:val="20"/>
          <w:szCs w:val="20"/>
        </w:rPr>
        <w:t>et al</w:t>
      </w:r>
      <w:r w:rsidR="00B21889">
        <w:rPr>
          <w:rFonts w:ascii="Arial" w:hAnsi="Arial" w:cs="Arial"/>
          <w:sz w:val="20"/>
          <w:szCs w:val="20"/>
        </w:rPr>
        <w:t>.</w:t>
      </w:r>
      <w:r w:rsidR="00EB62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B62BE">
        <w:rPr>
          <w:rFonts w:ascii="Arial" w:hAnsi="Arial" w:cs="Arial"/>
          <w:sz w:val="20"/>
          <w:szCs w:val="20"/>
        </w:rPr>
        <w:t>Cereb Cortex</w:t>
      </w:r>
      <w:r>
        <w:rPr>
          <w:rFonts w:ascii="Arial" w:hAnsi="Arial" w:cs="Arial"/>
          <w:sz w:val="20"/>
          <w:szCs w:val="20"/>
        </w:rPr>
        <w:t xml:space="preserve"> </w:t>
      </w:r>
      <w:r w:rsidR="00EB62BE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, </w:t>
      </w:r>
      <w:r w:rsidR="00EB62BE">
        <w:rPr>
          <w:rFonts w:ascii="Arial" w:hAnsi="Arial" w:cs="Arial"/>
          <w:sz w:val="20"/>
          <w:szCs w:val="20"/>
        </w:rPr>
        <w:t>1203-1215</w:t>
      </w:r>
      <w:r>
        <w:rPr>
          <w:rFonts w:ascii="Arial" w:hAnsi="Arial" w:cs="Arial"/>
          <w:sz w:val="20"/>
          <w:szCs w:val="20"/>
        </w:rPr>
        <w:t xml:space="preserve"> (</w:t>
      </w:r>
      <w:r w:rsidR="00EB62BE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).</w:t>
      </w:r>
    </w:p>
    <w:p w:rsidR="00B21889" w:rsidRPr="005A72DC" w:rsidRDefault="003225B2" w:rsidP="005A72D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ab/>
      </w:r>
      <w:r w:rsidR="003C4A59">
        <w:rPr>
          <w:rFonts w:ascii="Arial" w:hAnsi="Arial" w:cs="Arial"/>
          <w:sz w:val="20"/>
          <w:szCs w:val="20"/>
        </w:rPr>
        <w:t>Delnooz</w:t>
      </w:r>
      <w:r>
        <w:rPr>
          <w:rFonts w:ascii="Arial" w:hAnsi="Arial" w:cs="Arial"/>
          <w:sz w:val="20"/>
          <w:szCs w:val="20"/>
        </w:rPr>
        <w:t xml:space="preserve">, </w:t>
      </w:r>
      <w:r w:rsidR="003C4A59">
        <w:rPr>
          <w:rFonts w:ascii="Arial" w:hAnsi="Arial" w:cs="Arial"/>
          <w:sz w:val="20"/>
          <w:szCs w:val="20"/>
        </w:rPr>
        <w:t>C.C.S.</w:t>
      </w:r>
      <w:r>
        <w:rPr>
          <w:rFonts w:ascii="Arial" w:hAnsi="Arial" w:cs="Arial"/>
          <w:sz w:val="20"/>
          <w:szCs w:val="20"/>
        </w:rPr>
        <w:t>,</w:t>
      </w:r>
      <w:r w:rsidR="0023305D">
        <w:rPr>
          <w:rFonts w:ascii="Arial" w:hAnsi="Arial" w:cs="Arial"/>
          <w:sz w:val="20"/>
          <w:szCs w:val="20"/>
        </w:rPr>
        <w:t xml:space="preserve"> </w:t>
      </w:r>
      <w:r w:rsidR="0023305D" w:rsidRPr="0023305D">
        <w:rPr>
          <w:rFonts w:ascii="Arial" w:hAnsi="Arial" w:cs="Arial"/>
          <w:i/>
          <w:sz w:val="20"/>
          <w:szCs w:val="20"/>
        </w:rPr>
        <w:t>et al</w:t>
      </w:r>
      <w:r w:rsidR="0023305D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</w:t>
      </w:r>
      <w:r w:rsidR="003C4A59">
        <w:rPr>
          <w:rFonts w:ascii="Arial" w:hAnsi="Arial" w:cs="Arial"/>
          <w:sz w:val="20"/>
          <w:szCs w:val="20"/>
        </w:rPr>
        <w:t>PLoS ONE</w:t>
      </w:r>
      <w:r>
        <w:rPr>
          <w:rFonts w:ascii="Arial" w:hAnsi="Arial" w:cs="Arial"/>
          <w:sz w:val="20"/>
          <w:szCs w:val="20"/>
        </w:rPr>
        <w:t xml:space="preserve">, </w:t>
      </w:r>
      <w:r w:rsidR="003C4A59">
        <w:rPr>
          <w:rFonts w:ascii="Arial" w:hAnsi="Arial" w:cs="Arial"/>
          <w:sz w:val="20"/>
          <w:szCs w:val="20"/>
        </w:rPr>
        <w:t xml:space="preserve">8:e62877 </w:t>
      </w:r>
      <w:r w:rsidR="0023305D">
        <w:rPr>
          <w:rFonts w:ascii="Arial" w:hAnsi="Arial" w:cs="Arial"/>
          <w:sz w:val="20"/>
          <w:szCs w:val="20"/>
        </w:rPr>
        <w:t>(</w:t>
      </w:r>
      <w:r w:rsidR="003C4A59">
        <w:rPr>
          <w:rFonts w:ascii="Arial" w:hAnsi="Arial" w:cs="Arial"/>
          <w:sz w:val="20"/>
          <w:szCs w:val="20"/>
        </w:rPr>
        <w:t>201</w:t>
      </w:r>
      <w:r w:rsidR="00B2188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).</w:t>
      </w:r>
    </w:p>
    <w:sectPr w:rsidR="00B21889" w:rsidRPr="005A72DC" w:rsidSect="00450C97">
      <w:headerReference w:type="default" r:id="rId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A1" w:rsidRDefault="00AB64A1" w:rsidP="003225B2">
      <w:r>
        <w:separator/>
      </w:r>
    </w:p>
  </w:endnote>
  <w:endnote w:type="continuationSeparator" w:id="0">
    <w:p w:rsidR="00AB64A1" w:rsidRDefault="00AB64A1" w:rsidP="003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A1" w:rsidRDefault="00AB64A1" w:rsidP="003225B2">
      <w:r>
        <w:separator/>
      </w:r>
    </w:p>
  </w:footnote>
  <w:footnote w:type="continuationSeparator" w:id="0">
    <w:p w:rsidR="00AB64A1" w:rsidRDefault="00AB64A1" w:rsidP="0032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3225B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E59" w:rsidRDefault="00982E59" w:rsidP="00982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:rsidR="00982E59" w:rsidRDefault="00982E59" w:rsidP="00982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:rsidR="00F974C6" w:rsidRPr="00306550" w:rsidRDefault="00AB64A1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4.5pt;margin-top:5.2pt;width:305.2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QdggIAAA8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Csz5B2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982E59" w:rsidRDefault="00982E59" w:rsidP="00982E59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:rsidR="00982E59" w:rsidRDefault="00982E59" w:rsidP="00982E59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:rsidR="00F974C6" w:rsidRPr="00306550" w:rsidRDefault="00AB64A1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6255" cy="626745"/>
          <wp:effectExtent l="0" t="0" r="0" b="1905"/>
          <wp:docPr id="2" name="Picture 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2"/>
    <w:rsid w:val="000F3A5C"/>
    <w:rsid w:val="0010733C"/>
    <w:rsid w:val="001F281E"/>
    <w:rsid w:val="0023305D"/>
    <w:rsid w:val="00250930"/>
    <w:rsid w:val="00284F17"/>
    <w:rsid w:val="002873FE"/>
    <w:rsid w:val="002B31F2"/>
    <w:rsid w:val="00305B17"/>
    <w:rsid w:val="003225B2"/>
    <w:rsid w:val="003C4A59"/>
    <w:rsid w:val="00414521"/>
    <w:rsid w:val="004743EF"/>
    <w:rsid w:val="00506EC8"/>
    <w:rsid w:val="00573588"/>
    <w:rsid w:val="005A72DC"/>
    <w:rsid w:val="006E5880"/>
    <w:rsid w:val="006F7C88"/>
    <w:rsid w:val="007B6F01"/>
    <w:rsid w:val="00847000"/>
    <w:rsid w:val="00982E59"/>
    <w:rsid w:val="009F69D3"/>
    <w:rsid w:val="00A34121"/>
    <w:rsid w:val="00AB64A1"/>
    <w:rsid w:val="00AD427C"/>
    <w:rsid w:val="00B21889"/>
    <w:rsid w:val="00D16FCB"/>
    <w:rsid w:val="00D467E2"/>
    <w:rsid w:val="00E03C0D"/>
    <w:rsid w:val="00E8147E"/>
    <w:rsid w:val="00EB62BE"/>
    <w:rsid w:val="00F2719F"/>
    <w:rsid w:val="00F83258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3225B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2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87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5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3225B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2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87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5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DeSimone,Jesse</dc:creator>
  <cp:keywords/>
  <dc:description/>
  <cp:lastModifiedBy>Anke Toth</cp:lastModifiedBy>
  <cp:revision>4</cp:revision>
  <dcterms:created xsi:type="dcterms:W3CDTF">2018-02-01T20:01:00Z</dcterms:created>
  <dcterms:modified xsi:type="dcterms:W3CDTF">2018-04-10T18:12:00Z</dcterms:modified>
</cp:coreProperties>
</file>