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5898" w14:textId="4E04A632" w:rsidR="00736ED1" w:rsidRDefault="00150FAE" w:rsidP="00736ED1">
      <w:pPr>
        <w:tabs>
          <w:tab w:val="left" w:pos="360"/>
        </w:tabs>
        <w:jc w:val="center"/>
        <w:rPr>
          <w:rFonts w:ascii="Arial" w:hAnsi="Arial" w:cs="Arial"/>
          <w:sz w:val="20"/>
          <w:szCs w:val="20"/>
        </w:rPr>
      </w:pPr>
      <w:r w:rsidRPr="00F97787">
        <w:rPr>
          <w:rFonts w:ascii="Arial" w:hAnsi="Arial" w:cs="Arial"/>
          <w:b/>
          <w:vertAlign w:val="superscript"/>
        </w:rPr>
        <w:t>13</w:t>
      </w:r>
      <w:r w:rsidRPr="00150FAE">
        <w:rPr>
          <w:rFonts w:ascii="Arial" w:hAnsi="Arial" w:cs="Arial"/>
          <w:b/>
        </w:rPr>
        <w:t>C/</w:t>
      </w:r>
      <w:r w:rsidRPr="00F97787">
        <w:rPr>
          <w:rFonts w:ascii="Arial" w:hAnsi="Arial" w:cs="Arial"/>
          <w:b/>
          <w:vertAlign w:val="superscript"/>
        </w:rPr>
        <w:t>31</w:t>
      </w:r>
      <w:r w:rsidRPr="00150FAE">
        <w:rPr>
          <w:rFonts w:ascii="Arial" w:hAnsi="Arial" w:cs="Arial"/>
          <w:b/>
        </w:rPr>
        <w:t xml:space="preserve">P </w:t>
      </w:r>
      <w:r w:rsidR="00736ED1" w:rsidRPr="00736ED1">
        <w:rPr>
          <w:rFonts w:ascii="Arial" w:hAnsi="Arial" w:cs="Arial"/>
          <w:b/>
        </w:rPr>
        <w:t>Tissue Metabolic Biomarkers in a Mouse Model of Pompe Disease</w:t>
      </w:r>
    </w:p>
    <w:p w14:paraId="5A579243" w14:textId="28DB7DAD" w:rsidR="00A94FC4" w:rsidRPr="006B3824" w:rsidRDefault="00150FAE" w:rsidP="00150FAE">
      <w:pPr>
        <w:tabs>
          <w:tab w:val="left" w:pos="360"/>
        </w:tabs>
        <w:rPr>
          <w:rFonts w:ascii="Arial" w:hAnsi="Arial" w:cs="Arial"/>
          <w:sz w:val="20"/>
          <w:szCs w:val="20"/>
        </w:rPr>
      </w:pPr>
      <w:r>
        <w:rPr>
          <w:rFonts w:ascii="Arial" w:hAnsi="Arial" w:cs="Arial"/>
          <w:sz w:val="20"/>
          <w:szCs w:val="20"/>
        </w:rPr>
        <w:t>Baligand, C. (Leiden University Medical Center, Netherlands)</w:t>
      </w:r>
      <w:r w:rsidR="00736ED1">
        <w:rPr>
          <w:rFonts w:ascii="Arial" w:hAnsi="Arial" w:cs="Arial"/>
          <w:sz w:val="20"/>
          <w:szCs w:val="20"/>
        </w:rPr>
        <w:t>;</w:t>
      </w:r>
      <w:r>
        <w:rPr>
          <w:rFonts w:ascii="Arial" w:hAnsi="Arial" w:cs="Arial"/>
          <w:sz w:val="20"/>
          <w:szCs w:val="20"/>
        </w:rPr>
        <w:t xml:space="preserve"> Todd, A.G. (Pharmacology and Therapeutics, UF)</w:t>
      </w:r>
      <w:r w:rsidR="00736ED1">
        <w:rPr>
          <w:rFonts w:ascii="Arial" w:hAnsi="Arial" w:cs="Arial"/>
          <w:sz w:val="20"/>
          <w:szCs w:val="20"/>
        </w:rPr>
        <w:t>;</w:t>
      </w:r>
      <w:r>
        <w:rPr>
          <w:rFonts w:ascii="Arial" w:hAnsi="Arial" w:cs="Arial"/>
          <w:sz w:val="20"/>
          <w:szCs w:val="20"/>
        </w:rPr>
        <w:t xml:space="preserve"> Lee-McMullen, B. (Stanford University, CA)</w:t>
      </w:r>
      <w:r w:rsidR="00736ED1">
        <w:rPr>
          <w:rFonts w:ascii="Arial" w:hAnsi="Arial" w:cs="Arial"/>
          <w:sz w:val="20"/>
          <w:szCs w:val="20"/>
        </w:rPr>
        <w:t>;</w:t>
      </w:r>
      <w:r>
        <w:rPr>
          <w:rFonts w:ascii="Arial" w:hAnsi="Arial" w:cs="Arial"/>
          <w:sz w:val="20"/>
          <w:szCs w:val="20"/>
        </w:rPr>
        <w:t xml:space="preserve"> Ravneet</w:t>
      </w:r>
      <w:r w:rsidR="00736ED1">
        <w:rPr>
          <w:rFonts w:ascii="Arial" w:hAnsi="Arial" w:cs="Arial"/>
          <w:sz w:val="20"/>
          <w:szCs w:val="20"/>
        </w:rPr>
        <w:t>,</w:t>
      </w:r>
      <w:r>
        <w:rPr>
          <w:rFonts w:ascii="Arial" w:hAnsi="Arial" w:cs="Arial"/>
          <w:sz w:val="20"/>
          <w:szCs w:val="20"/>
        </w:rPr>
        <w:t xml:space="preserve"> S.V</w:t>
      </w:r>
      <w:r w:rsidR="00736ED1">
        <w:rPr>
          <w:rFonts w:ascii="Arial" w:hAnsi="Arial" w:cs="Arial"/>
          <w:sz w:val="20"/>
          <w:szCs w:val="20"/>
        </w:rPr>
        <w:t>.</w:t>
      </w:r>
      <w:r>
        <w:rPr>
          <w:rFonts w:ascii="Arial" w:hAnsi="Arial" w:cs="Arial"/>
          <w:sz w:val="20"/>
          <w:szCs w:val="20"/>
        </w:rPr>
        <w:t xml:space="preserve"> (Physiology and Functional Genomics, UF)</w:t>
      </w:r>
      <w:r w:rsidR="00736ED1">
        <w:rPr>
          <w:rFonts w:ascii="Arial" w:hAnsi="Arial" w:cs="Arial"/>
          <w:sz w:val="20"/>
          <w:szCs w:val="20"/>
        </w:rPr>
        <w:t>;</w:t>
      </w:r>
      <w:r>
        <w:rPr>
          <w:rFonts w:ascii="Arial" w:hAnsi="Arial" w:cs="Arial"/>
          <w:sz w:val="20"/>
          <w:szCs w:val="20"/>
        </w:rPr>
        <w:t xml:space="preserve"> Byrne, B.J (Pediatrics, UF)</w:t>
      </w:r>
      <w:r w:rsidR="00736ED1">
        <w:rPr>
          <w:rFonts w:ascii="Arial" w:hAnsi="Arial" w:cs="Arial"/>
          <w:sz w:val="20"/>
          <w:szCs w:val="20"/>
        </w:rPr>
        <w:t>;</w:t>
      </w:r>
      <w:r w:rsidRPr="00150FAE">
        <w:rPr>
          <w:rFonts w:ascii="Arial" w:hAnsi="Arial" w:cs="Arial"/>
          <w:sz w:val="20"/>
          <w:szCs w:val="20"/>
        </w:rPr>
        <w:t xml:space="preserve"> </w:t>
      </w:r>
      <w:r>
        <w:rPr>
          <w:rFonts w:ascii="Arial" w:hAnsi="Arial" w:cs="Arial"/>
          <w:sz w:val="20"/>
          <w:szCs w:val="20"/>
        </w:rPr>
        <w:t>Falk, D.</w:t>
      </w:r>
      <w:r w:rsidRPr="00150FAE">
        <w:rPr>
          <w:rFonts w:ascii="Arial" w:hAnsi="Arial" w:cs="Arial"/>
          <w:sz w:val="20"/>
          <w:szCs w:val="20"/>
        </w:rPr>
        <w:t xml:space="preserve">J. </w:t>
      </w:r>
      <w:r>
        <w:rPr>
          <w:rFonts w:ascii="Arial" w:hAnsi="Arial" w:cs="Arial"/>
          <w:sz w:val="20"/>
          <w:szCs w:val="20"/>
        </w:rPr>
        <w:t>(Pediatrics, UF</w:t>
      </w:r>
      <w:r w:rsidR="00736ED1">
        <w:rPr>
          <w:rFonts w:ascii="Arial" w:hAnsi="Arial" w:cs="Arial"/>
          <w:sz w:val="20"/>
          <w:szCs w:val="20"/>
        </w:rPr>
        <w:t>);</w:t>
      </w:r>
      <w:bookmarkStart w:id="0" w:name="_GoBack"/>
      <w:bookmarkEnd w:id="0"/>
      <w:r>
        <w:rPr>
          <w:rFonts w:ascii="Arial" w:hAnsi="Arial" w:cs="Arial"/>
          <w:sz w:val="20"/>
          <w:szCs w:val="20"/>
        </w:rPr>
        <w:t xml:space="preserve"> </w:t>
      </w:r>
      <w:r w:rsidRPr="00736ED1">
        <w:rPr>
          <w:rFonts w:ascii="Arial" w:hAnsi="Arial" w:cs="Arial"/>
          <w:sz w:val="20"/>
          <w:szCs w:val="20"/>
          <w:u w:val="single"/>
        </w:rPr>
        <w:t>Walter, G.A.</w:t>
      </w:r>
      <w:r>
        <w:rPr>
          <w:rFonts w:ascii="Arial" w:hAnsi="Arial" w:cs="Arial"/>
          <w:sz w:val="20"/>
          <w:szCs w:val="20"/>
        </w:rPr>
        <w:t xml:space="preserve"> (Physiology and Functional Genomics, UF)</w:t>
      </w:r>
    </w:p>
    <w:p w14:paraId="6C92E81B" w14:textId="77777777" w:rsidR="00A94FC4" w:rsidRPr="006B3824" w:rsidRDefault="00A94FC4" w:rsidP="00736ED1">
      <w:pPr>
        <w:pBdr>
          <w:bottom w:val="single" w:sz="4" w:space="1" w:color="auto"/>
        </w:pBdr>
        <w:tabs>
          <w:tab w:val="left" w:pos="360"/>
        </w:tabs>
        <w:rPr>
          <w:rFonts w:ascii="Arial" w:hAnsi="Arial" w:cs="Arial"/>
          <w:sz w:val="20"/>
          <w:szCs w:val="20"/>
        </w:rPr>
      </w:pPr>
    </w:p>
    <w:p w14:paraId="5ADF56DB" w14:textId="3615DA8A" w:rsidR="00150FAE" w:rsidRPr="00150FAE" w:rsidRDefault="00A94FC4" w:rsidP="00150FAE">
      <w:pPr>
        <w:tabs>
          <w:tab w:val="left" w:pos="360"/>
        </w:tabs>
        <w:jc w:val="both"/>
        <w:rPr>
          <w:rFonts w:ascii="Arial" w:hAnsi="Arial" w:cs="Arial"/>
          <w:sz w:val="20"/>
          <w:szCs w:val="20"/>
        </w:rPr>
      </w:pPr>
      <w:r w:rsidRPr="006B3824">
        <w:rPr>
          <w:rFonts w:ascii="Arial" w:hAnsi="Arial" w:cs="Arial"/>
          <w:b/>
          <w:sz w:val="20"/>
          <w:szCs w:val="20"/>
        </w:rPr>
        <w:t>Introduction</w:t>
      </w:r>
      <w:r w:rsidR="002426D5">
        <w:rPr>
          <w:rFonts w:ascii="Arial" w:hAnsi="Arial" w:cs="Arial"/>
          <w:b/>
          <w:sz w:val="20"/>
          <w:szCs w:val="20"/>
        </w:rPr>
        <w:t xml:space="preserve"> </w:t>
      </w:r>
      <w:r w:rsidR="009D02A0">
        <w:rPr>
          <w:rFonts w:ascii="Arial" w:hAnsi="Arial" w:cs="Arial"/>
          <w:b/>
          <w:sz w:val="20"/>
          <w:szCs w:val="20"/>
        </w:rPr>
        <w:t xml:space="preserve">- </w:t>
      </w:r>
      <w:r w:rsidR="00150FAE" w:rsidRPr="00150FAE">
        <w:rPr>
          <w:rFonts w:ascii="Arial" w:hAnsi="Arial" w:cs="Arial"/>
          <w:sz w:val="20"/>
          <w:szCs w:val="20"/>
        </w:rPr>
        <w:t xml:space="preserve">Pompe disease is a progressive degenerative neuromuscular </w:t>
      </w:r>
      <w:r w:rsidR="001C541E">
        <w:rPr>
          <w:rFonts w:ascii="Arial" w:hAnsi="Arial" w:cs="Arial"/>
          <w:sz w:val="20"/>
          <w:szCs w:val="20"/>
        </w:rPr>
        <w:t>disease</w:t>
      </w:r>
      <w:r w:rsidR="00150FAE" w:rsidRPr="00150FAE">
        <w:rPr>
          <w:rFonts w:ascii="Arial" w:hAnsi="Arial" w:cs="Arial"/>
          <w:sz w:val="20"/>
          <w:szCs w:val="20"/>
        </w:rPr>
        <w:t xml:space="preserve"> characterized by a deficiency in alpha-glucosidase (GAA), the enzyme responsible for lysosomal glycogen breakdown. Although enzyme replacement therapy has been successful in improving survival rate</w:t>
      </w:r>
      <w:r w:rsidR="00C267B3">
        <w:rPr>
          <w:rFonts w:ascii="Arial" w:hAnsi="Arial" w:cs="Arial"/>
          <w:sz w:val="20"/>
          <w:szCs w:val="20"/>
        </w:rPr>
        <w:t>,</w:t>
      </w:r>
      <w:r w:rsidR="00150FAE" w:rsidRPr="00150FAE">
        <w:rPr>
          <w:rFonts w:ascii="Arial" w:hAnsi="Arial" w:cs="Arial"/>
          <w:sz w:val="20"/>
          <w:szCs w:val="20"/>
        </w:rPr>
        <w:t xml:space="preserve"> there is still no cure </w:t>
      </w:r>
      <w:r w:rsidR="00C267B3">
        <w:rPr>
          <w:rFonts w:ascii="Arial" w:hAnsi="Arial" w:cs="Arial"/>
          <w:sz w:val="20"/>
          <w:szCs w:val="20"/>
        </w:rPr>
        <w:t>available</w:t>
      </w:r>
      <w:r w:rsidR="00150FAE" w:rsidRPr="00150FAE">
        <w:rPr>
          <w:rFonts w:ascii="Arial" w:hAnsi="Arial" w:cs="Arial"/>
          <w:sz w:val="20"/>
          <w:szCs w:val="20"/>
        </w:rPr>
        <w:t xml:space="preserve">. </w:t>
      </w:r>
      <w:r w:rsidR="005919E9">
        <w:rPr>
          <w:rFonts w:ascii="Arial" w:hAnsi="Arial" w:cs="Arial"/>
          <w:sz w:val="20"/>
          <w:szCs w:val="20"/>
        </w:rPr>
        <w:t>As</w:t>
      </w:r>
      <w:r w:rsidR="00150FAE" w:rsidRPr="00150FAE">
        <w:rPr>
          <w:rFonts w:ascii="Arial" w:hAnsi="Arial" w:cs="Arial"/>
          <w:sz w:val="20"/>
          <w:szCs w:val="20"/>
        </w:rPr>
        <w:t xml:space="preserve"> </w:t>
      </w:r>
      <w:r w:rsidR="005919E9">
        <w:rPr>
          <w:rFonts w:ascii="Arial" w:hAnsi="Arial" w:cs="Arial"/>
          <w:sz w:val="20"/>
          <w:szCs w:val="20"/>
        </w:rPr>
        <w:t xml:space="preserve">an </w:t>
      </w:r>
      <w:r w:rsidR="00150FAE" w:rsidRPr="00150FAE">
        <w:rPr>
          <w:rFonts w:ascii="Arial" w:hAnsi="Arial" w:cs="Arial"/>
          <w:sz w:val="20"/>
          <w:szCs w:val="20"/>
        </w:rPr>
        <w:t>alternative</w:t>
      </w:r>
      <w:r w:rsidR="005919E9">
        <w:rPr>
          <w:rFonts w:ascii="Arial" w:hAnsi="Arial" w:cs="Arial"/>
          <w:sz w:val="20"/>
          <w:szCs w:val="20"/>
        </w:rPr>
        <w:t xml:space="preserve">, gene therapy </w:t>
      </w:r>
      <w:r w:rsidR="00150FAE" w:rsidRPr="00150FAE">
        <w:rPr>
          <w:rFonts w:ascii="Arial" w:hAnsi="Arial" w:cs="Arial"/>
          <w:sz w:val="20"/>
          <w:szCs w:val="20"/>
        </w:rPr>
        <w:t xml:space="preserve">has the potential to correct gene expression with a single administration of recombinant adeno-associated virus (rAAV). </w:t>
      </w:r>
      <w:r w:rsidR="000B2395">
        <w:rPr>
          <w:rFonts w:ascii="Arial" w:hAnsi="Arial" w:cs="Arial"/>
          <w:sz w:val="20"/>
          <w:szCs w:val="20"/>
        </w:rPr>
        <w:t>However, p</w:t>
      </w:r>
      <w:r w:rsidR="00150FAE" w:rsidRPr="00150FAE">
        <w:rPr>
          <w:rFonts w:ascii="Arial" w:hAnsi="Arial" w:cs="Arial"/>
          <w:sz w:val="20"/>
          <w:szCs w:val="20"/>
        </w:rPr>
        <w:t>reclinical and clinical non-invasive biomarkers</w:t>
      </w:r>
      <w:r w:rsidR="000B2395">
        <w:rPr>
          <w:rFonts w:ascii="Arial" w:hAnsi="Arial" w:cs="Arial"/>
          <w:sz w:val="20"/>
          <w:szCs w:val="20"/>
        </w:rPr>
        <w:t xml:space="preserve"> are currently lacking. </w:t>
      </w:r>
      <w:r w:rsidR="00150FAE" w:rsidRPr="00150FAE">
        <w:rPr>
          <w:rFonts w:ascii="Arial" w:hAnsi="Arial" w:cs="Arial"/>
          <w:sz w:val="20"/>
          <w:szCs w:val="20"/>
        </w:rPr>
        <w:t xml:space="preserve">In this </w:t>
      </w:r>
      <w:r w:rsidR="005919E9">
        <w:rPr>
          <w:rFonts w:ascii="Arial" w:hAnsi="Arial" w:cs="Arial"/>
          <w:sz w:val="20"/>
          <w:szCs w:val="20"/>
        </w:rPr>
        <w:t>study,</w:t>
      </w:r>
      <w:r w:rsidR="00150FAE" w:rsidRPr="00150FAE">
        <w:rPr>
          <w:rFonts w:ascii="Arial" w:hAnsi="Arial" w:cs="Arial"/>
          <w:sz w:val="20"/>
          <w:szCs w:val="20"/>
        </w:rPr>
        <w:t xml:space="preserve"> we used a combination of high field (11.1T) </w:t>
      </w:r>
      <w:r w:rsidR="00150FAE" w:rsidRPr="00150FAE">
        <w:rPr>
          <w:rFonts w:ascii="Arial" w:hAnsi="Arial" w:cs="Arial"/>
          <w:sz w:val="20"/>
          <w:szCs w:val="20"/>
          <w:vertAlign w:val="superscript"/>
        </w:rPr>
        <w:t>13</w:t>
      </w:r>
      <w:r w:rsidR="00150FAE" w:rsidRPr="00150FAE">
        <w:rPr>
          <w:rFonts w:ascii="Arial" w:hAnsi="Arial" w:cs="Arial"/>
          <w:sz w:val="20"/>
          <w:szCs w:val="20"/>
        </w:rPr>
        <w:t>C/</w:t>
      </w:r>
      <w:r w:rsidR="00150FAE" w:rsidRPr="00150FAE">
        <w:rPr>
          <w:rFonts w:ascii="Arial" w:hAnsi="Arial" w:cs="Arial"/>
          <w:sz w:val="20"/>
          <w:szCs w:val="20"/>
          <w:vertAlign w:val="superscript"/>
        </w:rPr>
        <w:t>31</w:t>
      </w:r>
      <w:r w:rsidR="00150FAE" w:rsidRPr="00150FAE">
        <w:rPr>
          <w:rFonts w:ascii="Arial" w:hAnsi="Arial" w:cs="Arial"/>
          <w:sz w:val="20"/>
          <w:szCs w:val="20"/>
        </w:rPr>
        <w:t xml:space="preserve">P MR spectroscopy (MRS) </w:t>
      </w:r>
      <w:r w:rsidR="00150FAE" w:rsidRPr="00150FAE">
        <w:rPr>
          <w:rFonts w:ascii="Arial" w:hAnsi="Arial" w:cs="Arial"/>
          <w:i/>
          <w:sz w:val="20"/>
          <w:szCs w:val="20"/>
        </w:rPr>
        <w:t>in vivo</w:t>
      </w:r>
      <w:r w:rsidR="00150FAE" w:rsidRPr="00150FAE">
        <w:rPr>
          <w:rFonts w:ascii="Arial" w:hAnsi="Arial" w:cs="Arial"/>
          <w:sz w:val="20"/>
          <w:szCs w:val="20"/>
        </w:rPr>
        <w:t xml:space="preserve"> </w:t>
      </w:r>
      <w:r w:rsidR="004A608E">
        <w:rPr>
          <w:rFonts w:ascii="Arial" w:hAnsi="Arial" w:cs="Arial"/>
          <w:sz w:val="20"/>
          <w:szCs w:val="20"/>
        </w:rPr>
        <w:t>with</w:t>
      </w:r>
      <w:r w:rsidR="00150FAE" w:rsidRPr="00150FAE">
        <w:rPr>
          <w:rFonts w:ascii="Arial" w:hAnsi="Arial" w:cs="Arial"/>
          <w:sz w:val="20"/>
          <w:szCs w:val="20"/>
        </w:rPr>
        <w:t xml:space="preserve"> tissue </w:t>
      </w:r>
      <w:r w:rsidR="00150FAE" w:rsidRPr="00150FAE">
        <w:rPr>
          <w:rFonts w:ascii="Arial" w:hAnsi="Arial" w:cs="Arial"/>
          <w:sz w:val="20"/>
          <w:szCs w:val="20"/>
          <w:vertAlign w:val="superscript"/>
        </w:rPr>
        <w:t>1</w:t>
      </w:r>
      <w:r w:rsidR="00150FAE" w:rsidRPr="00150FAE">
        <w:rPr>
          <w:rFonts w:ascii="Arial" w:hAnsi="Arial" w:cs="Arial"/>
          <w:sz w:val="20"/>
          <w:szCs w:val="20"/>
        </w:rPr>
        <w:t>H high-resolution magic-angle spinning NMR (</w:t>
      </w:r>
      <w:r w:rsidR="00150FAE" w:rsidRPr="00150FAE">
        <w:rPr>
          <w:rFonts w:ascii="Arial" w:hAnsi="Arial" w:cs="Arial"/>
          <w:sz w:val="20"/>
          <w:szCs w:val="20"/>
          <w:vertAlign w:val="superscript"/>
        </w:rPr>
        <w:t>1</w:t>
      </w:r>
      <w:r w:rsidR="00150FAE" w:rsidRPr="00150FAE">
        <w:rPr>
          <w:rFonts w:ascii="Arial" w:hAnsi="Arial" w:cs="Arial"/>
          <w:sz w:val="20"/>
          <w:szCs w:val="20"/>
        </w:rPr>
        <w:t xml:space="preserve">H-HR-MAS) in the mouse </w:t>
      </w:r>
      <w:r w:rsidR="000B2395">
        <w:rPr>
          <w:rFonts w:ascii="Arial" w:hAnsi="Arial" w:cs="Arial"/>
          <w:sz w:val="20"/>
          <w:szCs w:val="20"/>
        </w:rPr>
        <w:t xml:space="preserve">model of the disease </w:t>
      </w:r>
      <w:r w:rsidR="00150FAE" w:rsidRPr="00150FAE">
        <w:rPr>
          <w:rFonts w:ascii="Arial" w:hAnsi="Arial" w:cs="Arial"/>
          <w:sz w:val="20"/>
          <w:szCs w:val="20"/>
        </w:rPr>
        <w:t>(</w:t>
      </w:r>
      <w:r w:rsidR="00150FAE" w:rsidRPr="00CB24E3">
        <w:rPr>
          <w:rFonts w:ascii="Arial" w:hAnsi="Arial" w:cs="Arial"/>
          <w:i/>
          <w:sz w:val="20"/>
          <w:szCs w:val="20"/>
        </w:rPr>
        <w:t>Gaa</w:t>
      </w:r>
      <w:r w:rsidR="00150FAE" w:rsidRPr="00CB24E3">
        <w:rPr>
          <w:rFonts w:ascii="Arial" w:hAnsi="Arial" w:cs="Arial"/>
          <w:i/>
          <w:sz w:val="20"/>
          <w:szCs w:val="20"/>
          <w:vertAlign w:val="superscript"/>
        </w:rPr>
        <w:t>-/-</w:t>
      </w:r>
      <w:r w:rsidR="00150FAE" w:rsidRPr="00150FAE">
        <w:rPr>
          <w:rFonts w:ascii="Arial" w:hAnsi="Arial" w:cs="Arial"/>
          <w:sz w:val="20"/>
          <w:szCs w:val="20"/>
        </w:rPr>
        <w:t xml:space="preserve">) to 1) identify new </w:t>
      </w:r>
      <w:r w:rsidR="005919E9" w:rsidRPr="00150FAE">
        <w:rPr>
          <w:rFonts w:ascii="Arial" w:hAnsi="Arial" w:cs="Arial"/>
          <w:sz w:val="20"/>
          <w:szCs w:val="20"/>
        </w:rPr>
        <w:t xml:space="preserve">metabolic </w:t>
      </w:r>
      <w:r w:rsidR="005919E9">
        <w:rPr>
          <w:rFonts w:ascii="Arial" w:hAnsi="Arial" w:cs="Arial"/>
          <w:sz w:val="20"/>
          <w:szCs w:val="20"/>
        </w:rPr>
        <w:t xml:space="preserve">biomarkers </w:t>
      </w:r>
      <w:r w:rsidR="00150FAE" w:rsidRPr="00150FAE">
        <w:rPr>
          <w:rFonts w:ascii="Arial" w:hAnsi="Arial" w:cs="Arial"/>
          <w:sz w:val="20"/>
          <w:szCs w:val="20"/>
        </w:rPr>
        <w:t xml:space="preserve">of the disease; 2) assess the </w:t>
      </w:r>
      <w:r w:rsidR="005919E9">
        <w:rPr>
          <w:rFonts w:ascii="Arial" w:hAnsi="Arial" w:cs="Arial"/>
          <w:sz w:val="20"/>
          <w:szCs w:val="20"/>
        </w:rPr>
        <w:t>effect of</w:t>
      </w:r>
      <w:r w:rsidR="00150FAE" w:rsidRPr="00150FAE">
        <w:rPr>
          <w:rFonts w:ascii="Arial" w:hAnsi="Arial" w:cs="Arial"/>
          <w:sz w:val="20"/>
          <w:szCs w:val="20"/>
        </w:rPr>
        <w:t xml:space="preserve"> rAAV2/9-desmin-GAA treatment in skeletal muscle.</w:t>
      </w:r>
    </w:p>
    <w:p w14:paraId="451403EC" w14:textId="1F86CDA5" w:rsidR="00150FAE" w:rsidRDefault="0044438A" w:rsidP="00150FAE">
      <w:pPr>
        <w:tabs>
          <w:tab w:val="left" w:pos="360"/>
        </w:tabs>
        <w:jc w:val="both"/>
        <w:rPr>
          <w:rFonts w:ascii="Arial" w:hAnsi="Arial" w:cs="Arial"/>
          <w:sz w:val="20"/>
          <w:szCs w:val="20"/>
        </w:rPr>
      </w:pPr>
      <w:r>
        <w:rPr>
          <w:noProof/>
          <w:lang w:eastAsia="en-US"/>
        </w:rPr>
        <w:drawing>
          <wp:anchor distT="0" distB="0" distL="114300" distR="114300" simplePos="0" relativeHeight="251659264" behindDoc="0" locked="0" layoutInCell="1" allowOverlap="1" wp14:anchorId="67277A78" wp14:editId="71AA76F2">
            <wp:simplePos x="0" y="0"/>
            <wp:positionH relativeFrom="column">
              <wp:posOffset>4471670</wp:posOffset>
            </wp:positionH>
            <wp:positionV relativeFrom="paragraph">
              <wp:posOffset>144145</wp:posOffset>
            </wp:positionV>
            <wp:extent cx="1937385" cy="1772285"/>
            <wp:effectExtent l="25400" t="25400" r="18415" b="31115"/>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223" t="5414" b="2166"/>
                    <a:stretch/>
                  </pic:blipFill>
                  <pic:spPr bwMode="auto">
                    <a:xfrm>
                      <a:off x="0" y="0"/>
                      <a:ext cx="1937385" cy="1772285"/>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E751F2" w14:textId="3B8CB19E" w:rsidR="002524EE" w:rsidRDefault="00C267B3" w:rsidP="00150FAE">
      <w:pPr>
        <w:tabs>
          <w:tab w:val="left" w:pos="360"/>
        </w:tabs>
        <w:jc w:val="both"/>
        <w:rPr>
          <w:rFonts w:ascii="Arial" w:hAnsi="Arial" w:cs="Arial"/>
          <w:sz w:val="20"/>
          <w:szCs w:val="20"/>
        </w:rPr>
      </w:pPr>
      <w:r>
        <w:rPr>
          <w:noProof/>
          <w:lang w:eastAsia="en-US"/>
        </w:rPr>
        <w:drawing>
          <wp:anchor distT="0" distB="0" distL="114300" distR="114300" simplePos="0" relativeHeight="251661312" behindDoc="0" locked="0" layoutInCell="1" allowOverlap="1" wp14:anchorId="62629926" wp14:editId="5D01247B">
            <wp:simplePos x="0" y="0"/>
            <wp:positionH relativeFrom="column">
              <wp:posOffset>5068570</wp:posOffset>
            </wp:positionH>
            <wp:positionV relativeFrom="paragraph">
              <wp:posOffset>1896077</wp:posOffset>
            </wp:positionV>
            <wp:extent cx="1347470" cy="2070735"/>
            <wp:effectExtent l="25400" t="25400" r="24130" b="37465"/>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11097"/>
                    <a:stretch/>
                  </pic:blipFill>
                  <pic:spPr bwMode="auto">
                    <a:xfrm>
                      <a:off x="0" y="0"/>
                      <a:ext cx="1347470" cy="207073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24EE" w:rsidRPr="006B3824">
        <w:rPr>
          <w:rFonts w:ascii="Arial" w:hAnsi="Arial" w:cs="Arial"/>
          <w:b/>
          <w:sz w:val="20"/>
          <w:szCs w:val="20"/>
        </w:rPr>
        <w:t>Experimental</w:t>
      </w:r>
      <w:r w:rsidR="009D02A0">
        <w:rPr>
          <w:rFonts w:ascii="Arial" w:hAnsi="Arial" w:cs="Arial"/>
          <w:b/>
          <w:sz w:val="20"/>
          <w:szCs w:val="20"/>
        </w:rPr>
        <w:t xml:space="preserve"> - </w:t>
      </w:r>
      <w:r w:rsidR="0009346E" w:rsidRPr="0009346E">
        <w:rPr>
          <w:rFonts w:ascii="Arial" w:hAnsi="Arial" w:cs="Arial"/>
          <w:i/>
          <w:sz w:val="20"/>
          <w:szCs w:val="20"/>
        </w:rPr>
        <w:t>Gaa</w:t>
      </w:r>
      <w:r w:rsidR="0009346E" w:rsidRPr="0009346E">
        <w:rPr>
          <w:rFonts w:ascii="Arial" w:hAnsi="Arial" w:cs="Arial"/>
          <w:i/>
          <w:sz w:val="20"/>
          <w:szCs w:val="20"/>
          <w:vertAlign w:val="superscript"/>
        </w:rPr>
        <w:t>-/-</w:t>
      </w:r>
      <w:r w:rsidR="0009346E" w:rsidRPr="00150FAE">
        <w:rPr>
          <w:rFonts w:ascii="Arial" w:hAnsi="Arial" w:cs="Arial"/>
          <w:sz w:val="20"/>
          <w:szCs w:val="20"/>
        </w:rPr>
        <w:t xml:space="preserve"> and wild-type </w:t>
      </w:r>
      <w:r>
        <w:rPr>
          <w:rFonts w:ascii="Arial" w:hAnsi="Arial" w:cs="Arial"/>
          <w:sz w:val="20"/>
          <w:szCs w:val="20"/>
        </w:rPr>
        <w:t xml:space="preserve">mice </w:t>
      </w:r>
      <w:r w:rsidR="0009346E">
        <w:rPr>
          <w:rFonts w:ascii="Arial" w:hAnsi="Arial" w:cs="Arial"/>
          <w:sz w:val="20"/>
          <w:szCs w:val="20"/>
        </w:rPr>
        <w:t xml:space="preserve">were examined </w:t>
      </w:r>
      <w:r w:rsidR="0009346E" w:rsidRPr="00150FAE">
        <w:rPr>
          <w:rFonts w:ascii="Arial" w:hAnsi="Arial" w:cs="Arial"/>
          <w:sz w:val="20"/>
          <w:szCs w:val="20"/>
        </w:rPr>
        <w:t>at 2 (n=6), 6 (n=4), 12 (n=7), and 18 month</w:t>
      </w:r>
      <w:r w:rsidR="0009346E">
        <w:rPr>
          <w:rFonts w:ascii="Arial" w:hAnsi="Arial" w:cs="Arial"/>
          <w:sz w:val="20"/>
          <w:szCs w:val="20"/>
        </w:rPr>
        <w:t>s of age</w:t>
      </w:r>
      <w:r w:rsidR="0009346E" w:rsidRPr="00150FAE">
        <w:rPr>
          <w:rFonts w:ascii="Arial" w:hAnsi="Arial" w:cs="Arial"/>
          <w:sz w:val="20"/>
          <w:szCs w:val="20"/>
        </w:rPr>
        <w:t xml:space="preserve"> (n=5). </w:t>
      </w:r>
      <w:r w:rsidR="0009346E">
        <w:rPr>
          <w:rFonts w:ascii="Arial" w:hAnsi="Arial" w:cs="Arial"/>
          <w:sz w:val="20"/>
          <w:szCs w:val="20"/>
        </w:rPr>
        <w:t>Two-month-old</w:t>
      </w:r>
      <w:r w:rsidR="0009346E" w:rsidRPr="00150FAE">
        <w:rPr>
          <w:rFonts w:ascii="Arial" w:hAnsi="Arial" w:cs="Arial"/>
          <w:sz w:val="20"/>
          <w:szCs w:val="20"/>
        </w:rPr>
        <w:t xml:space="preserve"> </w:t>
      </w:r>
      <w:r w:rsidR="0009346E" w:rsidRPr="0009346E">
        <w:rPr>
          <w:rFonts w:ascii="Arial" w:hAnsi="Arial" w:cs="Arial"/>
          <w:i/>
          <w:sz w:val="20"/>
          <w:szCs w:val="20"/>
        </w:rPr>
        <w:t>Gaa</w:t>
      </w:r>
      <w:r w:rsidR="0009346E" w:rsidRPr="0009346E">
        <w:rPr>
          <w:rFonts w:ascii="Arial" w:hAnsi="Arial" w:cs="Arial"/>
          <w:i/>
          <w:sz w:val="20"/>
          <w:szCs w:val="20"/>
          <w:vertAlign w:val="superscript"/>
        </w:rPr>
        <w:t>-/-</w:t>
      </w:r>
      <w:r w:rsidR="0009346E">
        <w:rPr>
          <w:rFonts w:ascii="Arial" w:hAnsi="Arial" w:cs="Arial"/>
          <w:sz w:val="20"/>
          <w:szCs w:val="20"/>
        </w:rPr>
        <w:t xml:space="preserve"> </w:t>
      </w:r>
      <w:r w:rsidR="0009346E" w:rsidRPr="00150FAE">
        <w:rPr>
          <w:rFonts w:ascii="Arial" w:hAnsi="Arial" w:cs="Arial"/>
          <w:sz w:val="20"/>
          <w:szCs w:val="20"/>
        </w:rPr>
        <w:t>mice received unilateral rAAV</w:t>
      </w:r>
      <w:r>
        <w:rPr>
          <w:rFonts w:ascii="Arial" w:hAnsi="Arial" w:cs="Arial"/>
          <w:sz w:val="20"/>
          <w:szCs w:val="20"/>
        </w:rPr>
        <w:t xml:space="preserve"> </w:t>
      </w:r>
      <w:r w:rsidR="0009346E" w:rsidRPr="00150FAE">
        <w:rPr>
          <w:rFonts w:ascii="Arial" w:hAnsi="Arial" w:cs="Arial"/>
          <w:sz w:val="20"/>
          <w:szCs w:val="20"/>
        </w:rPr>
        <w:t xml:space="preserve">injections in the </w:t>
      </w:r>
      <w:r w:rsidR="0009346E">
        <w:rPr>
          <w:rFonts w:ascii="Arial" w:hAnsi="Arial" w:cs="Arial"/>
          <w:sz w:val="20"/>
          <w:szCs w:val="20"/>
        </w:rPr>
        <w:t xml:space="preserve">leg </w:t>
      </w:r>
      <w:r w:rsidR="0009346E" w:rsidRPr="00150FAE">
        <w:rPr>
          <w:rFonts w:ascii="Arial" w:hAnsi="Arial" w:cs="Arial"/>
          <w:sz w:val="20"/>
          <w:szCs w:val="20"/>
        </w:rPr>
        <w:t>(</w:t>
      </w:r>
      <w:r w:rsidR="0009346E" w:rsidRPr="008517CD">
        <w:rPr>
          <w:rFonts w:ascii="Arial" w:hAnsi="Arial" w:cs="Arial"/>
          <w:i/>
          <w:sz w:val="20"/>
          <w:szCs w:val="20"/>
        </w:rPr>
        <w:t>Gaa</w:t>
      </w:r>
      <w:r w:rsidR="0009346E" w:rsidRPr="008517CD">
        <w:rPr>
          <w:rFonts w:ascii="Arial" w:hAnsi="Arial" w:cs="Arial"/>
          <w:i/>
          <w:sz w:val="20"/>
          <w:szCs w:val="20"/>
          <w:vertAlign w:val="superscript"/>
        </w:rPr>
        <w:t>-/-</w:t>
      </w:r>
      <w:r w:rsidR="008517CD" w:rsidRPr="008517CD">
        <w:rPr>
          <w:rFonts w:ascii="Arial" w:hAnsi="Arial" w:cs="Arial"/>
          <w:i/>
          <w:sz w:val="20"/>
          <w:szCs w:val="20"/>
        </w:rPr>
        <w:t>+</w:t>
      </w:r>
      <w:r w:rsidR="0009346E" w:rsidRPr="00150FAE">
        <w:rPr>
          <w:rFonts w:ascii="Arial" w:hAnsi="Arial" w:cs="Arial"/>
          <w:sz w:val="20"/>
          <w:szCs w:val="20"/>
        </w:rPr>
        <w:t>AAV, n=8)</w:t>
      </w:r>
      <w:r w:rsidR="008E2DF3">
        <w:rPr>
          <w:rFonts w:ascii="Arial" w:hAnsi="Arial" w:cs="Arial"/>
          <w:sz w:val="20"/>
          <w:szCs w:val="20"/>
        </w:rPr>
        <w:t xml:space="preserve"> and</w:t>
      </w:r>
      <w:r w:rsidR="0009346E">
        <w:rPr>
          <w:rFonts w:ascii="Arial" w:hAnsi="Arial" w:cs="Arial"/>
          <w:sz w:val="20"/>
          <w:szCs w:val="20"/>
        </w:rPr>
        <w:t xml:space="preserve"> </w:t>
      </w:r>
      <w:r w:rsidR="0009346E" w:rsidRPr="00150FAE">
        <w:rPr>
          <w:rFonts w:ascii="Arial" w:hAnsi="Arial" w:cs="Arial"/>
          <w:sz w:val="20"/>
          <w:szCs w:val="20"/>
        </w:rPr>
        <w:t xml:space="preserve">were scanned </w:t>
      </w:r>
      <w:r>
        <w:rPr>
          <w:rFonts w:ascii="Arial" w:hAnsi="Arial" w:cs="Arial"/>
          <w:sz w:val="20"/>
          <w:szCs w:val="20"/>
        </w:rPr>
        <w:t xml:space="preserve">after </w:t>
      </w:r>
      <w:r w:rsidR="0009346E" w:rsidRPr="00150FAE">
        <w:rPr>
          <w:rFonts w:ascii="Arial" w:hAnsi="Arial" w:cs="Arial"/>
          <w:sz w:val="20"/>
          <w:szCs w:val="20"/>
        </w:rPr>
        <w:t>28 days</w:t>
      </w:r>
      <w:r w:rsidR="003B34A9">
        <w:rPr>
          <w:rFonts w:ascii="Arial" w:hAnsi="Arial" w:cs="Arial"/>
          <w:sz w:val="20"/>
          <w:szCs w:val="20"/>
        </w:rPr>
        <w:t>,</w:t>
      </w:r>
      <w:r w:rsidR="0009346E">
        <w:rPr>
          <w:rFonts w:ascii="Arial" w:hAnsi="Arial" w:cs="Arial"/>
          <w:sz w:val="20"/>
          <w:szCs w:val="20"/>
        </w:rPr>
        <w:t xml:space="preserve"> as well as</w:t>
      </w:r>
      <w:r w:rsidR="008E2DF3">
        <w:rPr>
          <w:rFonts w:ascii="Arial" w:hAnsi="Arial" w:cs="Arial"/>
          <w:sz w:val="20"/>
          <w:szCs w:val="20"/>
        </w:rPr>
        <w:t xml:space="preserve"> untreated (n=8) and c</w:t>
      </w:r>
      <w:r w:rsidR="003B34A9">
        <w:rPr>
          <w:rFonts w:ascii="Arial" w:hAnsi="Arial" w:cs="Arial"/>
          <w:sz w:val="20"/>
          <w:szCs w:val="20"/>
        </w:rPr>
        <w:t>ontrol</w:t>
      </w:r>
      <w:r w:rsidR="008E2DF3">
        <w:rPr>
          <w:rFonts w:ascii="Arial" w:hAnsi="Arial" w:cs="Arial"/>
          <w:sz w:val="20"/>
          <w:szCs w:val="20"/>
        </w:rPr>
        <w:t>s</w:t>
      </w:r>
      <w:r w:rsidR="0009346E" w:rsidRPr="00150FAE">
        <w:rPr>
          <w:rFonts w:ascii="Arial" w:hAnsi="Arial" w:cs="Arial"/>
          <w:sz w:val="20"/>
          <w:szCs w:val="20"/>
        </w:rPr>
        <w:t xml:space="preserve"> </w:t>
      </w:r>
      <w:r w:rsidR="003B34A9">
        <w:rPr>
          <w:rFonts w:ascii="Arial" w:hAnsi="Arial" w:cs="Arial"/>
          <w:sz w:val="20"/>
          <w:szCs w:val="20"/>
        </w:rPr>
        <w:t>(</w:t>
      </w:r>
      <w:r w:rsidR="0009346E" w:rsidRPr="00150FAE">
        <w:rPr>
          <w:rFonts w:ascii="Arial" w:hAnsi="Arial" w:cs="Arial"/>
          <w:sz w:val="20"/>
          <w:szCs w:val="20"/>
        </w:rPr>
        <w:t xml:space="preserve">n=4). </w:t>
      </w:r>
      <w:r w:rsidR="00150FAE" w:rsidRPr="0009346E">
        <w:rPr>
          <w:rFonts w:ascii="Arial" w:hAnsi="Arial" w:cs="Arial"/>
          <w:b/>
          <w:i/>
          <w:sz w:val="20"/>
          <w:szCs w:val="20"/>
        </w:rPr>
        <w:t>In vivo</w:t>
      </w:r>
      <w:r w:rsidR="00150FAE" w:rsidRPr="0009346E">
        <w:rPr>
          <w:rFonts w:ascii="Arial" w:hAnsi="Arial" w:cs="Arial"/>
          <w:b/>
          <w:sz w:val="20"/>
          <w:szCs w:val="20"/>
        </w:rPr>
        <w:t xml:space="preserve"> </w:t>
      </w:r>
      <w:r w:rsidR="00150FAE" w:rsidRPr="0009346E">
        <w:rPr>
          <w:rFonts w:ascii="Arial" w:hAnsi="Arial" w:cs="Arial"/>
          <w:b/>
          <w:sz w:val="20"/>
          <w:szCs w:val="20"/>
          <w:vertAlign w:val="superscript"/>
        </w:rPr>
        <w:t>31</w:t>
      </w:r>
      <w:r w:rsidR="00150FAE" w:rsidRPr="0009346E">
        <w:rPr>
          <w:rFonts w:ascii="Arial" w:hAnsi="Arial" w:cs="Arial"/>
          <w:b/>
          <w:sz w:val="20"/>
          <w:szCs w:val="20"/>
        </w:rPr>
        <w:t xml:space="preserve">P and </w:t>
      </w:r>
      <w:r w:rsidR="00150FAE" w:rsidRPr="0009346E">
        <w:rPr>
          <w:rFonts w:ascii="Arial" w:hAnsi="Arial" w:cs="Arial"/>
          <w:b/>
          <w:sz w:val="20"/>
          <w:szCs w:val="20"/>
          <w:vertAlign w:val="superscript"/>
        </w:rPr>
        <w:t>13</w:t>
      </w:r>
      <w:r w:rsidR="00150FAE" w:rsidRPr="0009346E">
        <w:rPr>
          <w:rFonts w:ascii="Arial" w:hAnsi="Arial" w:cs="Arial"/>
          <w:b/>
          <w:sz w:val="20"/>
          <w:szCs w:val="20"/>
        </w:rPr>
        <w:t xml:space="preserve">C-MRS data were acquired </w:t>
      </w:r>
      <w:r w:rsidR="001B21D1" w:rsidRPr="0009346E">
        <w:rPr>
          <w:rFonts w:ascii="Arial" w:hAnsi="Arial" w:cs="Arial"/>
          <w:b/>
          <w:sz w:val="20"/>
          <w:szCs w:val="20"/>
        </w:rPr>
        <w:t>on</w:t>
      </w:r>
      <w:r w:rsidR="00150FAE" w:rsidRPr="0009346E">
        <w:rPr>
          <w:rFonts w:ascii="Arial" w:hAnsi="Arial" w:cs="Arial"/>
          <w:b/>
          <w:sz w:val="20"/>
          <w:szCs w:val="20"/>
        </w:rPr>
        <w:t xml:space="preserve"> the 11.1T </w:t>
      </w:r>
      <w:r w:rsidR="0009346E" w:rsidRPr="0009346E">
        <w:rPr>
          <w:rFonts w:ascii="Arial" w:hAnsi="Arial" w:cs="Arial"/>
          <w:b/>
          <w:sz w:val="20"/>
          <w:szCs w:val="20"/>
        </w:rPr>
        <w:t xml:space="preserve">Agilent </w:t>
      </w:r>
      <w:r w:rsidR="00150FAE" w:rsidRPr="0009346E">
        <w:rPr>
          <w:rFonts w:ascii="Arial" w:hAnsi="Arial" w:cs="Arial"/>
          <w:b/>
          <w:sz w:val="20"/>
          <w:szCs w:val="20"/>
        </w:rPr>
        <w:t>system available at the AMRIS facility at the University of Florida</w:t>
      </w:r>
      <w:r w:rsidR="000946FF">
        <w:rPr>
          <w:rFonts w:ascii="Arial" w:hAnsi="Arial" w:cs="Arial"/>
          <w:b/>
          <w:sz w:val="20"/>
          <w:szCs w:val="20"/>
        </w:rPr>
        <w:t xml:space="preserve"> </w:t>
      </w:r>
      <w:r w:rsidR="009D02A0">
        <w:rPr>
          <w:rFonts w:ascii="Arial" w:hAnsi="Arial" w:cs="Arial"/>
          <w:sz w:val="20"/>
          <w:szCs w:val="20"/>
        </w:rPr>
        <w:t>(Fig. 1</w:t>
      </w:r>
      <w:r w:rsidR="000946FF" w:rsidRPr="008E2DF3">
        <w:rPr>
          <w:rFonts w:ascii="Arial" w:hAnsi="Arial" w:cs="Arial"/>
          <w:sz w:val="20"/>
          <w:szCs w:val="20"/>
        </w:rPr>
        <w:t>)</w:t>
      </w:r>
      <w:r w:rsidR="003B0CAB">
        <w:rPr>
          <w:rFonts w:ascii="Arial" w:hAnsi="Arial" w:cs="Arial"/>
          <w:sz w:val="20"/>
          <w:szCs w:val="20"/>
        </w:rPr>
        <w:t xml:space="preserve">. </w:t>
      </w:r>
      <w:r w:rsidR="00150FAE" w:rsidRPr="00150FAE">
        <w:rPr>
          <w:rFonts w:ascii="Arial" w:hAnsi="Arial" w:cs="Arial"/>
          <w:sz w:val="20"/>
          <w:szCs w:val="20"/>
          <w:vertAlign w:val="superscript"/>
        </w:rPr>
        <w:t>31</w:t>
      </w:r>
      <w:r w:rsidR="00150FAE" w:rsidRPr="00150FAE">
        <w:rPr>
          <w:rFonts w:ascii="Arial" w:hAnsi="Arial" w:cs="Arial"/>
          <w:sz w:val="20"/>
          <w:szCs w:val="20"/>
        </w:rPr>
        <w:t>P</w:t>
      </w:r>
      <w:r w:rsidR="009D02A0">
        <w:rPr>
          <w:rFonts w:ascii="Arial" w:hAnsi="Arial" w:cs="Arial"/>
          <w:sz w:val="20"/>
          <w:szCs w:val="20"/>
        </w:rPr>
        <w:t xml:space="preserve"> and</w:t>
      </w:r>
      <w:r w:rsidR="003B34A9">
        <w:rPr>
          <w:rFonts w:ascii="Arial" w:hAnsi="Arial" w:cs="Arial"/>
          <w:sz w:val="20"/>
          <w:szCs w:val="20"/>
        </w:rPr>
        <w:t xml:space="preserve"> </w:t>
      </w:r>
      <w:r w:rsidR="003B34A9" w:rsidRPr="00150FAE">
        <w:rPr>
          <w:rFonts w:ascii="Arial" w:hAnsi="Arial" w:cs="Arial"/>
          <w:sz w:val="20"/>
          <w:szCs w:val="20"/>
          <w:vertAlign w:val="superscript"/>
        </w:rPr>
        <w:t>13</w:t>
      </w:r>
      <w:r w:rsidR="003B34A9" w:rsidRPr="00150FAE">
        <w:rPr>
          <w:rFonts w:ascii="Arial" w:hAnsi="Arial" w:cs="Arial"/>
          <w:sz w:val="20"/>
          <w:szCs w:val="20"/>
        </w:rPr>
        <w:t xml:space="preserve">C–MRS </w:t>
      </w:r>
      <w:r w:rsidR="00150FAE" w:rsidRPr="00150FAE">
        <w:rPr>
          <w:rFonts w:ascii="Arial" w:hAnsi="Arial" w:cs="Arial"/>
          <w:sz w:val="20"/>
          <w:szCs w:val="20"/>
        </w:rPr>
        <w:t xml:space="preserve">were acquired </w:t>
      </w:r>
      <w:r w:rsidR="003B34A9">
        <w:rPr>
          <w:rFonts w:ascii="Arial" w:hAnsi="Arial" w:cs="Arial"/>
          <w:sz w:val="20"/>
          <w:szCs w:val="20"/>
        </w:rPr>
        <w:t>at the Ernst angle with</w:t>
      </w:r>
      <w:r w:rsidR="00150FAE" w:rsidRPr="00150FAE">
        <w:rPr>
          <w:rFonts w:ascii="Arial" w:hAnsi="Arial" w:cs="Arial"/>
          <w:sz w:val="20"/>
          <w:szCs w:val="20"/>
        </w:rPr>
        <w:t xml:space="preserve"> TR=1s, </w:t>
      </w:r>
      <w:r w:rsidR="003B34A9">
        <w:rPr>
          <w:rFonts w:ascii="Arial" w:hAnsi="Arial" w:cs="Arial"/>
          <w:sz w:val="20"/>
          <w:szCs w:val="20"/>
        </w:rPr>
        <w:t xml:space="preserve">and accumulated for 5 min and 1h, respectively, to obtain sufficient </w:t>
      </w:r>
      <w:r w:rsidR="005919E9">
        <w:rPr>
          <w:rFonts w:ascii="Arial" w:hAnsi="Arial" w:cs="Arial"/>
          <w:sz w:val="20"/>
          <w:szCs w:val="20"/>
        </w:rPr>
        <w:t>SNR</w:t>
      </w:r>
      <w:r w:rsidR="003B34A9">
        <w:rPr>
          <w:rFonts w:ascii="Arial" w:hAnsi="Arial" w:cs="Arial"/>
          <w:sz w:val="20"/>
          <w:szCs w:val="20"/>
        </w:rPr>
        <w:t>.</w:t>
      </w:r>
      <w:r w:rsidR="00150FAE" w:rsidRPr="00150FAE">
        <w:rPr>
          <w:rFonts w:ascii="Arial" w:hAnsi="Arial" w:cs="Arial"/>
          <w:sz w:val="20"/>
          <w:szCs w:val="20"/>
        </w:rPr>
        <w:t xml:space="preserve"> </w:t>
      </w:r>
      <w:r w:rsidR="00150FAE" w:rsidRPr="00150FAE">
        <w:rPr>
          <w:rFonts w:ascii="Arial" w:hAnsi="Arial" w:cs="Arial"/>
          <w:sz w:val="20"/>
          <w:szCs w:val="20"/>
          <w:vertAlign w:val="superscript"/>
        </w:rPr>
        <w:t>1</w:t>
      </w:r>
      <w:r w:rsidR="00150FAE" w:rsidRPr="00150FAE">
        <w:rPr>
          <w:rFonts w:ascii="Arial" w:hAnsi="Arial" w:cs="Arial"/>
          <w:sz w:val="20"/>
          <w:szCs w:val="20"/>
        </w:rPr>
        <w:t>H-WALTZ-16 decoupling</w:t>
      </w:r>
      <w:r w:rsidR="003B34A9">
        <w:rPr>
          <w:rFonts w:ascii="Arial" w:hAnsi="Arial" w:cs="Arial"/>
          <w:sz w:val="20"/>
          <w:szCs w:val="20"/>
        </w:rPr>
        <w:t xml:space="preserve"> was added for </w:t>
      </w:r>
      <w:r w:rsidR="003B34A9" w:rsidRPr="003B34A9">
        <w:rPr>
          <w:rFonts w:ascii="Arial" w:hAnsi="Arial" w:cs="Arial"/>
          <w:sz w:val="20"/>
          <w:szCs w:val="20"/>
          <w:vertAlign w:val="superscript"/>
        </w:rPr>
        <w:t>13</w:t>
      </w:r>
      <w:r w:rsidR="003B34A9">
        <w:rPr>
          <w:rFonts w:ascii="Arial" w:hAnsi="Arial" w:cs="Arial"/>
          <w:sz w:val="20"/>
          <w:szCs w:val="20"/>
        </w:rPr>
        <w:t>C acquisitions</w:t>
      </w:r>
      <w:r w:rsidR="00150FAE" w:rsidRPr="00150FAE">
        <w:rPr>
          <w:rFonts w:ascii="Arial" w:hAnsi="Arial" w:cs="Arial"/>
          <w:sz w:val="20"/>
          <w:szCs w:val="20"/>
        </w:rPr>
        <w:t xml:space="preserve">. </w:t>
      </w:r>
      <w:r w:rsidR="003B34A9" w:rsidRPr="003B34A9">
        <w:rPr>
          <w:rFonts w:ascii="Arial" w:hAnsi="Arial" w:cs="Arial"/>
          <w:sz w:val="20"/>
          <w:szCs w:val="20"/>
          <w:vertAlign w:val="superscript"/>
        </w:rPr>
        <w:t>13</w:t>
      </w:r>
      <w:r w:rsidR="00150FAE" w:rsidRPr="00150FAE">
        <w:rPr>
          <w:rFonts w:ascii="Arial" w:hAnsi="Arial" w:cs="Arial"/>
          <w:sz w:val="20"/>
          <w:szCs w:val="20"/>
        </w:rPr>
        <w:t>C1-glycogen signal-to-noise</w:t>
      </w:r>
      <w:r w:rsidR="003B34A9">
        <w:rPr>
          <w:rFonts w:ascii="Arial" w:hAnsi="Arial" w:cs="Arial"/>
          <w:sz w:val="20"/>
          <w:szCs w:val="20"/>
        </w:rPr>
        <w:t>,</w:t>
      </w:r>
      <w:r w:rsidR="005919E9">
        <w:rPr>
          <w:rFonts w:ascii="Arial" w:hAnsi="Arial" w:cs="Arial"/>
          <w:sz w:val="20"/>
          <w:szCs w:val="20"/>
        </w:rPr>
        <w:t xml:space="preserve"> and</w:t>
      </w:r>
      <w:r w:rsidR="003B34A9">
        <w:rPr>
          <w:rFonts w:ascii="Arial" w:hAnsi="Arial" w:cs="Arial"/>
          <w:sz w:val="20"/>
          <w:szCs w:val="20"/>
        </w:rPr>
        <w:t xml:space="preserve"> </w:t>
      </w:r>
      <w:r w:rsidR="003B34A9" w:rsidRPr="005919E9">
        <w:rPr>
          <w:rFonts w:ascii="Arial" w:hAnsi="Arial" w:cs="Arial"/>
          <w:sz w:val="20"/>
          <w:szCs w:val="20"/>
          <w:vertAlign w:val="superscript"/>
        </w:rPr>
        <w:t>31</w:t>
      </w:r>
      <w:r w:rsidR="003B34A9">
        <w:rPr>
          <w:rFonts w:ascii="Arial" w:hAnsi="Arial" w:cs="Arial"/>
          <w:sz w:val="20"/>
          <w:szCs w:val="20"/>
        </w:rPr>
        <w:t>P metabolites peak integrals (including P</w:t>
      </w:r>
      <w:r w:rsidR="003B34A9" w:rsidRPr="00150FAE">
        <w:rPr>
          <w:rFonts w:ascii="Arial" w:hAnsi="Arial" w:cs="Arial"/>
          <w:sz w:val="20"/>
          <w:szCs w:val="20"/>
        </w:rPr>
        <w:t>hosphomonoester</w:t>
      </w:r>
      <w:r w:rsidR="00FF579A">
        <w:rPr>
          <w:rFonts w:ascii="Arial" w:hAnsi="Arial" w:cs="Arial"/>
          <w:sz w:val="20"/>
          <w:szCs w:val="20"/>
        </w:rPr>
        <w:t>s</w:t>
      </w:r>
      <w:r w:rsidR="003B34A9" w:rsidRPr="00150FAE">
        <w:rPr>
          <w:rFonts w:ascii="Arial" w:hAnsi="Arial" w:cs="Arial"/>
          <w:sz w:val="20"/>
          <w:szCs w:val="20"/>
        </w:rPr>
        <w:t xml:space="preserve"> (PME)</w:t>
      </w:r>
      <w:r w:rsidR="003B34A9">
        <w:rPr>
          <w:rFonts w:ascii="Arial" w:hAnsi="Arial" w:cs="Arial"/>
          <w:sz w:val="20"/>
          <w:szCs w:val="20"/>
        </w:rPr>
        <w:t xml:space="preserve">) were </w:t>
      </w:r>
      <w:r w:rsidR="005919E9">
        <w:rPr>
          <w:rFonts w:ascii="Arial" w:hAnsi="Arial" w:cs="Arial"/>
          <w:sz w:val="20"/>
          <w:szCs w:val="20"/>
        </w:rPr>
        <w:t>calculated</w:t>
      </w:r>
      <w:r w:rsidR="003B34A9">
        <w:rPr>
          <w:rFonts w:ascii="Arial" w:hAnsi="Arial" w:cs="Arial"/>
          <w:sz w:val="20"/>
          <w:szCs w:val="20"/>
        </w:rPr>
        <w:t xml:space="preserve"> in</w:t>
      </w:r>
      <w:r w:rsidR="003B34A9" w:rsidRPr="00150FAE">
        <w:rPr>
          <w:rFonts w:ascii="Arial" w:hAnsi="Arial" w:cs="Arial"/>
          <w:sz w:val="20"/>
          <w:szCs w:val="20"/>
        </w:rPr>
        <w:t xml:space="preserve"> </w:t>
      </w:r>
      <w:r w:rsidR="0009346E" w:rsidRPr="00150FAE">
        <w:rPr>
          <w:rFonts w:ascii="Arial" w:hAnsi="Arial" w:cs="Arial"/>
          <w:sz w:val="20"/>
          <w:szCs w:val="20"/>
        </w:rPr>
        <w:t>MestReNova 10.0</w:t>
      </w:r>
      <w:r w:rsidR="005919E9">
        <w:rPr>
          <w:rFonts w:ascii="Arial" w:hAnsi="Arial" w:cs="Arial"/>
          <w:sz w:val="20"/>
          <w:szCs w:val="20"/>
        </w:rPr>
        <w:t xml:space="preserve">. </w:t>
      </w:r>
      <w:r w:rsidR="00B1350D">
        <w:rPr>
          <w:rFonts w:ascii="Arial" w:hAnsi="Arial" w:cs="Arial"/>
          <w:sz w:val="20"/>
          <w:szCs w:val="20"/>
        </w:rPr>
        <w:t>Tissue</w:t>
      </w:r>
      <w:r w:rsidR="00B1350D" w:rsidRPr="00150FAE">
        <w:rPr>
          <w:rFonts w:ascii="Arial" w:hAnsi="Arial" w:cs="Arial"/>
          <w:sz w:val="20"/>
          <w:szCs w:val="20"/>
        </w:rPr>
        <w:t xml:space="preserve"> samples </w:t>
      </w:r>
      <w:r w:rsidR="00150FAE" w:rsidRPr="00150FAE">
        <w:rPr>
          <w:rFonts w:ascii="Arial" w:hAnsi="Arial" w:cs="Arial"/>
          <w:sz w:val="20"/>
          <w:szCs w:val="20"/>
        </w:rPr>
        <w:t xml:space="preserve">were </w:t>
      </w:r>
      <w:r w:rsidR="000946FF">
        <w:rPr>
          <w:rFonts w:ascii="Arial" w:hAnsi="Arial" w:cs="Arial"/>
          <w:sz w:val="20"/>
          <w:szCs w:val="20"/>
        </w:rPr>
        <w:t xml:space="preserve">scanned with </w:t>
      </w:r>
      <w:r w:rsidR="00150FAE" w:rsidRPr="005919E9">
        <w:rPr>
          <w:rFonts w:ascii="Arial" w:hAnsi="Arial" w:cs="Arial"/>
          <w:b/>
          <w:sz w:val="20"/>
          <w:szCs w:val="20"/>
          <w:vertAlign w:val="superscript"/>
        </w:rPr>
        <w:t>1</w:t>
      </w:r>
      <w:r w:rsidR="00150FAE" w:rsidRPr="005919E9">
        <w:rPr>
          <w:rFonts w:ascii="Arial" w:hAnsi="Arial" w:cs="Arial"/>
          <w:b/>
          <w:sz w:val="20"/>
          <w:szCs w:val="20"/>
        </w:rPr>
        <w:t>H-HR-MAS</w:t>
      </w:r>
      <w:r w:rsidR="00B1350D" w:rsidRPr="005919E9">
        <w:rPr>
          <w:rFonts w:ascii="Arial" w:hAnsi="Arial" w:cs="Arial"/>
          <w:b/>
          <w:sz w:val="20"/>
          <w:szCs w:val="20"/>
        </w:rPr>
        <w:t xml:space="preserve"> </w:t>
      </w:r>
      <w:r w:rsidR="000946FF">
        <w:rPr>
          <w:rFonts w:ascii="Arial" w:hAnsi="Arial" w:cs="Arial"/>
          <w:b/>
          <w:sz w:val="20"/>
          <w:szCs w:val="20"/>
        </w:rPr>
        <w:t xml:space="preserve">on the 600MHz Bruker system at the AMRIS facility </w:t>
      </w:r>
      <w:r w:rsidR="000946FF" w:rsidRPr="000946FF">
        <w:rPr>
          <w:rFonts w:ascii="Arial" w:hAnsi="Arial" w:cs="Arial"/>
          <w:sz w:val="20"/>
          <w:szCs w:val="20"/>
        </w:rPr>
        <w:t xml:space="preserve">for </w:t>
      </w:r>
      <w:r w:rsidR="00B1350D" w:rsidRPr="000946FF">
        <w:rPr>
          <w:rFonts w:ascii="Arial" w:hAnsi="Arial" w:cs="Arial"/>
          <w:sz w:val="20"/>
          <w:szCs w:val="20"/>
        </w:rPr>
        <w:t>glycogen</w:t>
      </w:r>
      <w:r w:rsidR="00FF579A">
        <w:rPr>
          <w:rFonts w:ascii="Arial" w:hAnsi="Arial" w:cs="Arial"/>
          <w:sz w:val="20"/>
          <w:szCs w:val="20"/>
        </w:rPr>
        <w:t>, creatine</w:t>
      </w:r>
      <w:r w:rsidR="00B1350D" w:rsidRPr="000946FF">
        <w:rPr>
          <w:rFonts w:ascii="Arial" w:hAnsi="Arial" w:cs="Arial"/>
          <w:sz w:val="20"/>
          <w:szCs w:val="20"/>
        </w:rPr>
        <w:t xml:space="preserve"> and glucose-6-phosphate</w:t>
      </w:r>
      <w:r w:rsidR="000946FF">
        <w:rPr>
          <w:rFonts w:ascii="Arial" w:hAnsi="Arial" w:cs="Arial"/>
          <w:sz w:val="20"/>
          <w:szCs w:val="20"/>
        </w:rPr>
        <w:t xml:space="preserve"> (G6P)</w:t>
      </w:r>
      <w:r w:rsidR="009D02A0">
        <w:rPr>
          <w:rFonts w:ascii="Arial" w:hAnsi="Arial" w:cs="Arial"/>
          <w:sz w:val="20"/>
          <w:szCs w:val="20"/>
        </w:rPr>
        <w:t xml:space="preserve"> detection</w:t>
      </w:r>
      <w:r w:rsidR="005919E9" w:rsidRPr="000946FF">
        <w:rPr>
          <w:rFonts w:ascii="Arial" w:hAnsi="Arial" w:cs="Arial"/>
          <w:sz w:val="20"/>
          <w:szCs w:val="20"/>
        </w:rPr>
        <w:t xml:space="preserve"> using</w:t>
      </w:r>
      <w:r w:rsidR="00B1350D" w:rsidRPr="000946FF">
        <w:rPr>
          <w:rFonts w:ascii="Arial" w:hAnsi="Arial" w:cs="Arial"/>
          <w:sz w:val="20"/>
          <w:szCs w:val="20"/>
        </w:rPr>
        <w:t xml:space="preserve"> </w:t>
      </w:r>
      <w:r w:rsidR="00150FAE" w:rsidRPr="000946FF">
        <w:rPr>
          <w:rFonts w:ascii="Arial" w:hAnsi="Arial" w:cs="Arial"/>
          <w:sz w:val="20"/>
          <w:szCs w:val="20"/>
        </w:rPr>
        <w:t>1D-NOESY with</w:t>
      </w:r>
      <w:r w:rsidR="00150FAE" w:rsidRPr="00150FAE">
        <w:rPr>
          <w:rFonts w:ascii="Arial" w:hAnsi="Arial" w:cs="Arial"/>
          <w:sz w:val="20"/>
          <w:szCs w:val="20"/>
        </w:rPr>
        <w:t xml:space="preserve"> presaturation</w:t>
      </w:r>
      <w:r w:rsidR="005919E9">
        <w:rPr>
          <w:rFonts w:ascii="Arial" w:hAnsi="Arial" w:cs="Arial"/>
          <w:sz w:val="20"/>
          <w:szCs w:val="20"/>
        </w:rPr>
        <w:t xml:space="preserve">. </w:t>
      </w:r>
      <w:r w:rsidR="000946FF">
        <w:rPr>
          <w:rFonts w:ascii="Arial" w:hAnsi="Arial" w:cs="Arial"/>
          <w:sz w:val="20"/>
          <w:szCs w:val="20"/>
        </w:rPr>
        <w:t>Metabolites</w:t>
      </w:r>
      <w:r w:rsidR="00150FAE" w:rsidRPr="00150FAE">
        <w:rPr>
          <w:rFonts w:ascii="Arial" w:hAnsi="Arial" w:cs="Arial"/>
          <w:sz w:val="20"/>
          <w:szCs w:val="20"/>
        </w:rPr>
        <w:t xml:space="preserve"> were quantified using Mest</w:t>
      </w:r>
      <w:r w:rsidR="00BA3581">
        <w:rPr>
          <w:rFonts w:ascii="Arial" w:hAnsi="Arial" w:cs="Arial"/>
          <w:sz w:val="20"/>
          <w:szCs w:val="20"/>
        </w:rPr>
        <w:t xml:space="preserve">ReNova Simple Mixture Analysis </w:t>
      </w:r>
      <w:r w:rsidR="00150FAE" w:rsidRPr="00150FAE">
        <w:rPr>
          <w:rFonts w:ascii="Arial" w:hAnsi="Arial" w:cs="Arial"/>
          <w:sz w:val="20"/>
          <w:szCs w:val="20"/>
        </w:rPr>
        <w:t xml:space="preserve">plugin. </w:t>
      </w:r>
      <w:r w:rsidR="00150FAE" w:rsidRPr="00B1350D">
        <w:rPr>
          <w:rFonts w:ascii="Arial" w:hAnsi="Arial" w:cs="Arial"/>
          <w:sz w:val="20"/>
          <w:szCs w:val="20"/>
        </w:rPr>
        <w:t xml:space="preserve">GAA activity and glycogen concentration were assessed </w:t>
      </w:r>
      <w:r w:rsidR="00B1350D">
        <w:rPr>
          <w:rFonts w:ascii="Arial" w:hAnsi="Arial" w:cs="Arial"/>
          <w:sz w:val="20"/>
          <w:szCs w:val="20"/>
        </w:rPr>
        <w:t>biochemically</w:t>
      </w:r>
      <w:r w:rsidR="009D02A0">
        <w:rPr>
          <w:rFonts w:ascii="Arial" w:hAnsi="Arial" w:cs="Arial"/>
          <w:sz w:val="20"/>
          <w:szCs w:val="20"/>
        </w:rPr>
        <w:t>.</w:t>
      </w:r>
    </w:p>
    <w:p w14:paraId="643F8941" w14:textId="77777777" w:rsidR="009D02A0" w:rsidRPr="006B3824" w:rsidRDefault="009D02A0" w:rsidP="00150FAE">
      <w:pPr>
        <w:tabs>
          <w:tab w:val="left" w:pos="360"/>
        </w:tabs>
        <w:jc w:val="both"/>
        <w:rPr>
          <w:rFonts w:ascii="Arial" w:hAnsi="Arial" w:cs="Arial"/>
          <w:sz w:val="20"/>
          <w:szCs w:val="20"/>
        </w:rPr>
      </w:pPr>
    </w:p>
    <w:p w14:paraId="7481625E" w14:textId="36157B31" w:rsidR="000946FF" w:rsidRDefault="002524EE" w:rsidP="000946FF">
      <w:pPr>
        <w:tabs>
          <w:tab w:val="left" w:pos="360"/>
        </w:tabs>
        <w:jc w:val="both"/>
        <w:rPr>
          <w:rFonts w:ascii="Arial" w:hAnsi="Arial" w:cs="Arial"/>
          <w:bCs/>
          <w:sz w:val="20"/>
          <w:szCs w:val="20"/>
        </w:rPr>
      </w:pPr>
      <w:r w:rsidRPr="006B3824">
        <w:rPr>
          <w:rFonts w:ascii="Arial" w:hAnsi="Arial" w:cs="Arial"/>
          <w:b/>
          <w:sz w:val="20"/>
          <w:szCs w:val="20"/>
        </w:rPr>
        <w:t>Results</w:t>
      </w:r>
      <w:r w:rsidR="009D02A0">
        <w:rPr>
          <w:rFonts w:ascii="Arial" w:hAnsi="Arial" w:cs="Arial"/>
          <w:b/>
          <w:sz w:val="20"/>
          <w:szCs w:val="20"/>
        </w:rPr>
        <w:t xml:space="preserve"> -</w:t>
      </w:r>
      <w:r w:rsidR="008517CD">
        <w:rPr>
          <w:rFonts w:ascii="Arial" w:hAnsi="Arial" w:cs="Arial"/>
          <w:b/>
          <w:sz w:val="20"/>
          <w:szCs w:val="20"/>
        </w:rPr>
        <w:t xml:space="preserve"> </w:t>
      </w:r>
      <w:r w:rsidR="00194E18" w:rsidRPr="008517CD">
        <w:rPr>
          <w:rFonts w:ascii="Arial" w:hAnsi="Arial" w:cs="Arial"/>
          <w:b/>
          <w:bCs/>
          <w:sz w:val="20"/>
          <w:szCs w:val="20"/>
        </w:rPr>
        <w:t xml:space="preserve">1) </w:t>
      </w:r>
      <w:r w:rsidR="00194E18">
        <w:rPr>
          <w:rFonts w:ascii="Arial" w:hAnsi="Arial" w:cs="Arial"/>
          <w:bCs/>
          <w:sz w:val="20"/>
          <w:szCs w:val="20"/>
        </w:rPr>
        <w:t>High C1-Glycogen signa</w:t>
      </w:r>
      <w:r w:rsidR="008517CD">
        <w:rPr>
          <w:rFonts w:ascii="Arial" w:hAnsi="Arial" w:cs="Arial"/>
          <w:bCs/>
          <w:sz w:val="20"/>
          <w:szCs w:val="20"/>
        </w:rPr>
        <w:t xml:space="preserve">l could be detected in vivo in </w:t>
      </w:r>
      <w:r w:rsidR="008517CD" w:rsidRPr="008517CD">
        <w:rPr>
          <w:rFonts w:ascii="Arial" w:hAnsi="Arial" w:cs="Arial"/>
          <w:bCs/>
          <w:i/>
          <w:sz w:val="20"/>
          <w:szCs w:val="20"/>
        </w:rPr>
        <w:t>G</w:t>
      </w:r>
      <w:r w:rsidR="00194E18" w:rsidRPr="008517CD">
        <w:rPr>
          <w:rFonts w:ascii="Arial" w:hAnsi="Arial" w:cs="Arial"/>
          <w:bCs/>
          <w:i/>
          <w:sz w:val="20"/>
          <w:szCs w:val="20"/>
        </w:rPr>
        <w:t>aa</w:t>
      </w:r>
      <w:r w:rsidR="00194E18" w:rsidRPr="008517CD">
        <w:rPr>
          <w:rFonts w:ascii="Arial" w:hAnsi="Arial" w:cs="Arial"/>
          <w:bCs/>
          <w:i/>
          <w:sz w:val="20"/>
          <w:szCs w:val="20"/>
          <w:vertAlign w:val="superscript"/>
        </w:rPr>
        <w:t>-/-</w:t>
      </w:r>
      <w:r w:rsidR="00194E18">
        <w:rPr>
          <w:rFonts w:ascii="Arial" w:hAnsi="Arial" w:cs="Arial"/>
          <w:bCs/>
          <w:sz w:val="20"/>
          <w:szCs w:val="20"/>
        </w:rPr>
        <w:t>, while signal was within the noise level in control with phys</w:t>
      </w:r>
      <w:r w:rsidR="0058538C">
        <w:rPr>
          <w:rFonts w:ascii="Arial" w:hAnsi="Arial" w:cs="Arial"/>
          <w:bCs/>
          <w:sz w:val="20"/>
          <w:szCs w:val="20"/>
        </w:rPr>
        <w:t>iological concentration (Fig.1A,</w:t>
      </w:r>
      <w:r w:rsidR="00194E18">
        <w:rPr>
          <w:rFonts w:ascii="Arial" w:hAnsi="Arial" w:cs="Arial"/>
          <w:bCs/>
          <w:sz w:val="20"/>
          <w:szCs w:val="20"/>
        </w:rPr>
        <w:t xml:space="preserve">B). </w:t>
      </w:r>
      <w:r w:rsidR="008517CD">
        <w:rPr>
          <w:rFonts w:ascii="Arial" w:hAnsi="Arial" w:cs="Arial"/>
          <w:bCs/>
          <w:sz w:val="20"/>
          <w:szCs w:val="20"/>
        </w:rPr>
        <w:t xml:space="preserve"> </w:t>
      </w:r>
      <w:r w:rsidR="00194E18" w:rsidRPr="008517CD">
        <w:rPr>
          <w:rFonts w:ascii="Arial" w:hAnsi="Arial" w:cs="Arial"/>
          <w:b/>
          <w:bCs/>
          <w:sz w:val="20"/>
          <w:szCs w:val="20"/>
        </w:rPr>
        <w:t>2)</w:t>
      </w:r>
      <w:r w:rsidR="00194E18">
        <w:rPr>
          <w:rFonts w:ascii="Arial" w:hAnsi="Arial" w:cs="Arial"/>
          <w:bCs/>
          <w:sz w:val="20"/>
          <w:szCs w:val="20"/>
        </w:rPr>
        <w:t xml:space="preserve"> </w:t>
      </w:r>
      <w:r w:rsidR="00194E18" w:rsidRPr="00194E18">
        <w:rPr>
          <w:rFonts w:ascii="Arial" w:hAnsi="Arial" w:cs="Arial"/>
          <w:bCs/>
          <w:sz w:val="20"/>
          <w:szCs w:val="20"/>
          <w:vertAlign w:val="superscript"/>
        </w:rPr>
        <w:t>31</w:t>
      </w:r>
      <w:r w:rsidR="000946FF" w:rsidRPr="000946FF">
        <w:rPr>
          <w:rFonts w:ascii="Arial" w:hAnsi="Arial" w:cs="Arial"/>
          <w:bCs/>
          <w:sz w:val="20"/>
          <w:szCs w:val="20"/>
        </w:rPr>
        <w:t>PME/ATP</w:t>
      </w:r>
      <w:r w:rsidR="000946FF" w:rsidRPr="008517CD">
        <w:rPr>
          <w:rFonts w:ascii="Arial" w:hAnsi="Arial" w:cs="Arial"/>
          <w:bCs/>
          <w:sz w:val="20"/>
          <w:szCs w:val="20"/>
          <w:vertAlign w:val="subscript"/>
        </w:rPr>
        <w:t>total</w:t>
      </w:r>
      <w:r w:rsidR="000946FF" w:rsidRPr="000946FF">
        <w:rPr>
          <w:rFonts w:ascii="Arial" w:hAnsi="Arial" w:cs="Arial"/>
          <w:bCs/>
          <w:sz w:val="20"/>
          <w:szCs w:val="20"/>
        </w:rPr>
        <w:t xml:space="preserve"> </w:t>
      </w:r>
      <w:r w:rsidR="00194E18">
        <w:rPr>
          <w:rFonts w:ascii="Arial" w:hAnsi="Arial" w:cs="Arial"/>
          <w:bCs/>
          <w:sz w:val="20"/>
          <w:szCs w:val="20"/>
        </w:rPr>
        <w:t xml:space="preserve">was elevated in </w:t>
      </w:r>
      <w:r w:rsidR="008517CD" w:rsidRPr="008517CD">
        <w:rPr>
          <w:rFonts w:ascii="Arial" w:hAnsi="Arial" w:cs="Arial"/>
          <w:bCs/>
          <w:i/>
          <w:sz w:val="20"/>
          <w:szCs w:val="20"/>
        </w:rPr>
        <w:t>Gaa</w:t>
      </w:r>
      <w:r w:rsidR="008517CD" w:rsidRPr="008517CD">
        <w:rPr>
          <w:rFonts w:ascii="Arial" w:hAnsi="Arial" w:cs="Arial"/>
          <w:bCs/>
          <w:i/>
          <w:sz w:val="20"/>
          <w:szCs w:val="20"/>
          <w:vertAlign w:val="superscript"/>
        </w:rPr>
        <w:t>-/-</w:t>
      </w:r>
      <w:r w:rsidR="000946FF" w:rsidRPr="000946FF">
        <w:rPr>
          <w:rFonts w:ascii="Arial" w:hAnsi="Arial" w:cs="Arial"/>
          <w:bCs/>
          <w:sz w:val="20"/>
          <w:szCs w:val="20"/>
        </w:rPr>
        <w:t xml:space="preserve"> mice</w:t>
      </w:r>
      <w:r w:rsidR="00194E18">
        <w:rPr>
          <w:rFonts w:ascii="Arial" w:hAnsi="Arial" w:cs="Arial"/>
          <w:bCs/>
          <w:sz w:val="20"/>
          <w:szCs w:val="20"/>
        </w:rPr>
        <w:t xml:space="preserve"> at 2, 6, 12 and 18 mo compared to controls (Fig</w:t>
      </w:r>
      <w:r w:rsidR="00D37D35">
        <w:rPr>
          <w:rFonts w:ascii="Arial" w:hAnsi="Arial" w:cs="Arial"/>
          <w:bCs/>
          <w:sz w:val="20"/>
          <w:szCs w:val="20"/>
        </w:rPr>
        <w:t>.</w:t>
      </w:r>
      <w:r w:rsidR="00194E18">
        <w:rPr>
          <w:rFonts w:ascii="Arial" w:hAnsi="Arial" w:cs="Arial"/>
          <w:bCs/>
          <w:sz w:val="20"/>
          <w:szCs w:val="20"/>
        </w:rPr>
        <w:t>1</w:t>
      </w:r>
      <w:r w:rsidR="0058538C">
        <w:rPr>
          <w:rFonts w:ascii="Arial" w:hAnsi="Arial" w:cs="Arial"/>
          <w:bCs/>
          <w:sz w:val="20"/>
          <w:szCs w:val="20"/>
        </w:rPr>
        <w:t>C,</w:t>
      </w:r>
      <w:r w:rsidR="006B0D8B">
        <w:rPr>
          <w:rFonts w:ascii="Arial" w:hAnsi="Arial" w:cs="Arial"/>
          <w:bCs/>
          <w:sz w:val="20"/>
          <w:szCs w:val="20"/>
        </w:rPr>
        <w:t>D)</w:t>
      </w:r>
      <w:r w:rsidR="00FF579A">
        <w:rPr>
          <w:rFonts w:ascii="Arial" w:hAnsi="Arial" w:cs="Arial"/>
          <w:bCs/>
          <w:sz w:val="20"/>
          <w:szCs w:val="20"/>
        </w:rPr>
        <w:t>.</w:t>
      </w:r>
      <w:r w:rsidR="008517CD">
        <w:rPr>
          <w:rFonts w:ascii="Arial" w:hAnsi="Arial" w:cs="Arial"/>
          <w:bCs/>
          <w:sz w:val="20"/>
          <w:szCs w:val="20"/>
        </w:rPr>
        <w:t xml:space="preserve"> </w:t>
      </w:r>
      <w:r w:rsidR="006B0D8B" w:rsidRPr="008517CD">
        <w:rPr>
          <w:rFonts w:ascii="Arial" w:hAnsi="Arial" w:cs="Arial"/>
          <w:b/>
          <w:bCs/>
          <w:sz w:val="20"/>
          <w:szCs w:val="20"/>
        </w:rPr>
        <w:t>3</w:t>
      </w:r>
      <w:r w:rsidR="000946FF" w:rsidRPr="008517CD">
        <w:rPr>
          <w:rFonts w:ascii="Arial" w:hAnsi="Arial" w:cs="Arial"/>
          <w:b/>
          <w:bCs/>
          <w:sz w:val="20"/>
          <w:szCs w:val="20"/>
        </w:rPr>
        <w:t>)</w:t>
      </w:r>
      <w:r w:rsidR="000946FF" w:rsidRPr="000946FF">
        <w:rPr>
          <w:rFonts w:ascii="Arial" w:hAnsi="Arial" w:cs="Arial"/>
          <w:bCs/>
          <w:sz w:val="20"/>
          <w:szCs w:val="20"/>
        </w:rPr>
        <w:t xml:space="preserve"> </w:t>
      </w:r>
      <w:r w:rsidR="00FF23A3" w:rsidRPr="00FF23A3">
        <w:rPr>
          <w:rFonts w:ascii="Arial" w:hAnsi="Arial" w:cs="Arial"/>
          <w:sz w:val="20"/>
          <w:szCs w:val="20"/>
          <w:vertAlign w:val="superscript"/>
        </w:rPr>
        <w:t>1</w:t>
      </w:r>
      <w:r w:rsidR="00FF23A3" w:rsidRPr="00FF23A3">
        <w:rPr>
          <w:rFonts w:ascii="Arial" w:hAnsi="Arial" w:cs="Arial"/>
          <w:sz w:val="20"/>
          <w:szCs w:val="20"/>
        </w:rPr>
        <w:t>H-HR-MAS</w:t>
      </w:r>
      <w:r w:rsidR="00FF23A3">
        <w:rPr>
          <w:rFonts w:ascii="Arial" w:hAnsi="Arial" w:cs="Arial"/>
          <w:bCs/>
          <w:sz w:val="20"/>
          <w:szCs w:val="20"/>
        </w:rPr>
        <w:t xml:space="preserve"> </w:t>
      </w:r>
      <w:r w:rsidR="00FF23A3" w:rsidRPr="000946FF">
        <w:rPr>
          <w:rFonts w:ascii="Arial" w:hAnsi="Arial" w:cs="Arial"/>
          <w:bCs/>
          <w:sz w:val="20"/>
          <w:szCs w:val="20"/>
        </w:rPr>
        <w:t xml:space="preserve">revealed </w:t>
      </w:r>
      <w:r w:rsidR="00FF23A3">
        <w:rPr>
          <w:rFonts w:ascii="Arial" w:hAnsi="Arial" w:cs="Arial"/>
          <w:bCs/>
          <w:sz w:val="20"/>
          <w:szCs w:val="20"/>
        </w:rPr>
        <w:t>significantly higher</w:t>
      </w:r>
      <w:r w:rsidR="00FF579A">
        <w:rPr>
          <w:rFonts w:ascii="Arial" w:hAnsi="Arial" w:cs="Arial"/>
          <w:bCs/>
          <w:sz w:val="20"/>
          <w:szCs w:val="20"/>
        </w:rPr>
        <w:t xml:space="preserve"> G6</w:t>
      </w:r>
      <w:r w:rsidR="00FF23A3" w:rsidRPr="000946FF">
        <w:rPr>
          <w:rFonts w:ascii="Arial" w:hAnsi="Arial" w:cs="Arial"/>
          <w:bCs/>
          <w:sz w:val="20"/>
          <w:szCs w:val="20"/>
        </w:rPr>
        <w:t>P and glycogen</w:t>
      </w:r>
      <w:r w:rsidR="0044438A">
        <w:rPr>
          <w:rFonts w:ascii="Arial" w:hAnsi="Arial" w:cs="Arial"/>
          <w:bCs/>
          <w:sz w:val="20"/>
          <w:szCs w:val="20"/>
        </w:rPr>
        <w:t>-to-</w:t>
      </w:r>
      <w:r w:rsidR="00D37D35">
        <w:rPr>
          <w:rFonts w:ascii="Arial" w:hAnsi="Arial" w:cs="Arial"/>
          <w:bCs/>
          <w:sz w:val="20"/>
          <w:szCs w:val="20"/>
        </w:rPr>
        <w:t xml:space="preserve">creatine </w:t>
      </w:r>
      <w:r w:rsidR="00FF23A3" w:rsidRPr="000946FF">
        <w:rPr>
          <w:rFonts w:ascii="Arial" w:hAnsi="Arial" w:cs="Arial"/>
          <w:bCs/>
          <w:sz w:val="20"/>
          <w:szCs w:val="20"/>
        </w:rPr>
        <w:t xml:space="preserve">levels in the gastrocnemius of </w:t>
      </w:r>
      <w:r w:rsidR="008517CD" w:rsidRPr="008517CD">
        <w:rPr>
          <w:rFonts w:ascii="Arial" w:hAnsi="Arial" w:cs="Arial"/>
          <w:bCs/>
          <w:i/>
          <w:sz w:val="20"/>
          <w:szCs w:val="20"/>
        </w:rPr>
        <w:t>Gaa</w:t>
      </w:r>
      <w:r w:rsidR="008517CD" w:rsidRPr="008517CD">
        <w:rPr>
          <w:rFonts w:ascii="Arial" w:hAnsi="Arial" w:cs="Arial"/>
          <w:bCs/>
          <w:i/>
          <w:sz w:val="20"/>
          <w:szCs w:val="20"/>
          <w:vertAlign w:val="superscript"/>
        </w:rPr>
        <w:t>-/-</w:t>
      </w:r>
      <w:r w:rsidR="008517CD">
        <w:rPr>
          <w:rFonts w:ascii="Arial" w:hAnsi="Arial" w:cs="Arial"/>
          <w:bCs/>
          <w:sz w:val="20"/>
          <w:szCs w:val="20"/>
        </w:rPr>
        <w:t xml:space="preserve"> </w:t>
      </w:r>
      <w:r w:rsidR="00FF23A3" w:rsidRPr="000946FF">
        <w:rPr>
          <w:rFonts w:ascii="Arial" w:hAnsi="Arial" w:cs="Arial"/>
          <w:bCs/>
          <w:sz w:val="20"/>
          <w:szCs w:val="20"/>
        </w:rPr>
        <w:t>c</w:t>
      </w:r>
      <w:r w:rsidR="008517CD">
        <w:rPr>
          <w:rFonts w:ascii="Arial" w:hAnsi="Arial" w:cs="Arial"/>
          <w:bCs/>
          <w:sz w:val="20"/>
          <w:szCs w:val="20"/>
        </w:rPr>
        <w:t>ompared to controls (</w:t>
      </w:r>
      <w:r w:rsidR="00E72633">
        <w:rPr>
          <w:rFonts w:ascii="Arial" w:hAnsi="Arial" w:cs="Arial"/>
          <w:bCs/>
          <w:sz w:val="20"/>
          <w:szCs w:val="20"/>
        </w:rPr>
        <w:t>Fig.2</w:t>
      </w:r>
      <w:r w:rsidR="00FF23A3" w:rsidRPr="000946FF">
        <w:rPr>
          <w:rFonts w:ascii="Arial" w:hAnsi="Arial" w:cs="Arial"/>
          <w:bCs/>
          <w:sz w:val="20"/>
          <w:szCs w:val="20"/>
        </w:rPr>
        <w:t>).</w:t>
      </w:r>
      <w:r w:rsidR="000946FF" w:rsidRPr="000946FF">
        <w:rPr>
          <w:rFonts w:ascii="Arial" w:hAnsi="Arial" w:cs="Arial"/>
          <w:bCs/>
          <w:sz w:val="20"/>
          <w:szCs w:val="20"/>
        </w:rPr>
        <w:t xml:space="preserve"> </w:t>
      </w:r>
      <w:r w:rsidR="00FF23A3" w:rsidRPr="008517CD">
        <w:rPr>
          <w:rFonts w:ascii="Arial" w:hAnsi="Arial" w:cs="Arial"/>
          <w:b/>
          <w:bCs/>
          <w:sz w:val="20"/>
          <w:szCs w:val="20"/>
        </w:rPr>
        <w:t>4)</w:t>
      </w:r>
      <w:r w:rsidR="00FF23A3">
        <w:rPr>
          <w:rFonts w:ascii="Arial" w:hAnsi="Arial" w:cs="Arial"/>
          <w:bCs/>
          <w:sz w:val="20"/>
          <w:szCs w:val="20"/>
        </w:rPr>
        <w:t xml:space="preserve"> </w:t>
      </w:r>
      <w:r w:rsidR="000946FF" w:rsidRPr="000946FF">
        <w:rPr>
          <w:rFonts w:ascii="Arial" w:hAnsi="Arial" w:cs="Arial"/>
          <w:bCs/>
          <w:sz w:val="20"/>
          <w:szCs w:val="20"/>
        </w:rPr>
        <w:t>rAAV2/9</w:t>
      </w:r>
      <w:r w:rsidR="00FF23A3">
        <w:rPr>
          <w:rFonts w:ascii="Arial" w:hAnsi="Arial" w:cs="Arial"/>
          <w:bCs/>
          <w:sz w:val="20"/>
          <w:szCs w:val="20"/>
        </w:rPr>
        <w:t xml:space="preserve">-desmin-GAA injection in </w:t>
      </w:r>
      <w:r w:rsidR="008517CD" w:rsidRPr="008517CD">
        <w:rPr>
          <w:rFonts w:ascii="Arial" w:hAnsi="Arial" w:cs="Arial"/>
          <w:bCs/>
          <w:i/>
          <w:sz w:val="20"/>
          <w:szCs w:val="20"/>
        </w:rPr>
        <w:t>Gaa</w:t>
      </w:r>
      <w:r w:rsidR="008517CD" w:rsidRPr="008517CD">
        <w:rPr>
          <w:rFonts w:ascii="Arial" w:hAnsi="Arial" w:cs="Arial"/>
          <w:bCs/>
          <w:i/>
          <w:sz w:val="20"/>
          <w:szCs w:val="20"/>
          <w:vertAlign w:val="superscript"/>
        </w:rPr>
        <w:t>-/-</w:t>
      </w:r>
      <w:r w:rsidR="00FF23A3">
        <w:rPr>
          <w:rFonts w:ascii="Arial" w:hAnsi="Arial" w:cs="Arial"/>
          <w:bCs/>
          <w:sz w:val="20"/>
          <w:szCs w:val="20"/>
        </w:rPr>
        <w:t>+</w:t>
      </w:r>
      <w:r w:rsidR="000946FF" w:rsidRPr="000946FF">
        <w:rPr>
          <w:rFonts w:ascii="Arial" w:hAnsi="Arial" w:cs="Arial"/>
          <w:bCs/>
          <w:sz w:val="20"/>
          <w:szCs w:val="20"/>
        </w:rPr>
        <w:t xml:space="preserve">AAV successfully restored high levels of GAA activity. </w:t>
      </w:r>
      <w:r w:rsidR="00FF23A3">
        <w:rPr>
          <w:rFonts w:ascii="Arial" w:hAnsi="Arial" w:cs="Arial"/>
          <w:bCs/>
          <w:sz w:val="20"/>
          <w:szCs w:val="20"/>
        </w:rPr>
        <w:t xml:space="preserve">MRS showed that </w:t>
      </w:r>
      <w:r w:rsidR="000946FF" w:rsidRPr="000946FF">
        <w:rPr>
          <w:rFonts w:ascii="Arial" w:hAnsi="Arial" w:cs="Arial"/>
          <w:bCs/>
          <w:sz w:val="20"/>
          <w:szCs w:val="20"/>
        </w:rPr>
        <w:t xml:space="preserve">C1-glycogen </w:t>
      </w:r>
      <w:r w:rsidR="00FF23A3">
        <w:rPr>
          <w:rFonts w:ascii="Arial" w:hAnsi="Arial" w:cs="Arial"/>
          <w:bCs/>
          <w:sz w:val="20"/>
          <w:szCs w:val="20"/>
        </w:rPr>
        <w:t xml:space="preserve">level, </w:t>
      </w:r>
      <w:r w:rsidR="00FF23A3" w:rsidRPr="008517CD">
        <w:rPr>
          <w:rFonts w:ascii="Arial" w:hAnsi="Arial" w:cs="Arial"/>
          <w:bCs/>
          <w:i/>
          <w:sz w:val="20"/>
          <w:szCs w:val="20"/>
        </w:rPr>
        <w:t>in vivo</w:t>
      </w:r>
      <w:r w:rsidR="00FF23A3">
        <w:rPr>
          <w:rFonts w:ascii="Arial" w:hAnsi="Arial" w:cs="Arial"/>
          <w:bCs/>
          <w:sz w:val="20"/>
          <w:szCs w:val="20"/>
        </w:rPr>
        <w:t xml:space="preserve"> PME levels, a</w:t>
      </w:r>
      <w:r w:rsidR="00FF579A">
        <w:rPr>
          <w:rFonts w:ascii="Arial" w:hAnsi="Arial" w:cs="Arial"/>
          <w:bCs/>
          <w:sz w:val="20"/>
          <w:szCs w:val="20"/>
        </w:rPr>
        <w:t>nd intact tissue glycogen and G6</w:t>
      </w:r>
      <w:r w:rsidR="00FF23A3">
        <w:rPr>
          <w:rFonts w:ascii="Arial" w:hAnsi="Arial" w:cs="Arial"/>
          <w:bCs/>
          <w:sz w:val="20"/>
          <w:szCs w:val="20"/>
        </w:rPr>
        <w:t xml:space="preserve">P levels as measured by </w:t>
      </w:r>
      <w:r w:rsidR="00FF23A3" w:rsidRPr="00FF23A3">
        <w:rPr>
          <w:rFonts w:ascii="Arial" w:hAnsi="Arial" w:cs="Arial"/>
          <w:sz w:val="20"/>
          <w:szCs w:val="20"/>
          <w:vertAlign w:val="superscript"/>
        </w:rPr>
        <w:t>1</w:t>
      </w:r>
      <w:r w:rsidR="00FF23A3" w:rsidRPr="00FF23A3">
        <w:rPr>
          <w:rFonts w:ascii="Arial" w:hAnsi="Arial" w:cs="Arial"/>
          <w:sz w:val="20"/>
          <w:szCs w:val="20"/>
        </w:rPr>
        <w:t>H-HR-MAS</w:t>
      </w:r>
      <w:r w:rsidR="00FF23A3">
        <w:rPr>
          <w:rFonts w:ascii="Arial" w:hAnsi="Arial" w:cs="Arial"/>
          <w:bCs/>
          <w:sz w:val="20"/>
          <w:szCs w:val="20"/>
        </w:rPr>
        <w:t xml:space="preserve"> were all corrected after treatment (Fig.2). </w:t>
      </w:r>
      <w:r w:rsidR="000946FF" w:rsidRPr="000946FF">
        <w:rPr>
          <w:rFonts w:ascii="Arial" w:hAnsi="Arial" w:cs="Arial"/>
          <w:bCs/>
          <w:sz w:val="20"/>
          <w:szCs w:val="20"/>
        </w:rPr>
        <w:t xml:space="preserve">GAA activity between 10-15 nmol/hr/mg was sufficient to significantly decrease all glycogen measures in </w:t>
      </w:r>
      <w:r w:rsidR="008517CD" w:rsidRPr="008517CD">
        <w:rPr>
          <w:rFonts w:ascii="Arial" w:hAnsi="Arial" w:cs="Arial"/>
          <w:bCs/>
          <w:i/>
          <w:sz w:val="20"/>
          <w:szCs w:val="20"/>
        </w:rPr>
        <w:t>Gaa</w:t>
      </w:r>
      <w:r w:rsidR="008517CD" w:rsidRPr="008517CD">
        <w:rPr>
          <w:rFonts w:ascii="Arial" w:hAnsi="Arial" w:cs="Arial"/>
          <w:bCs/>
          <w:i/>
          <w:sz w:val="20"/>
          <w:szCs w:val="20"/>
          <w:vertAlign w:val="superscript"/>
        </w:rPr>
        <w:t>-/-</w:t>
      </w:r>
      <w:r w:rsidR="008517CD">
        <w:rPr>
          <w:rFonts w:ascii="Arial" w:hAnsi="Arial" w:cs="Arial"/>
          <w:bCs/>
          <w:sz w:val="20"/>
          <w:szCs w:val="20"/>
        </w:rPr>
        <w:t>+</w:t>
      </w:r>
      <w:r w:rsidR="000946FF" w:rsidRPr="000946FF">
        <w:rPr>
          <w:rFonts w:ascii="Arial" w:hAnsi="Arial" w:cs="Arial"/>
          <w:bCs/>
          <w:sz w:val="20"/>
          <w:szCs w:val="20"/>
        </w:rPr>
        <w:t xml:space="preserve">AAV, and higher activity did not induce further glycogen clearance. </w:t>
      </w:r>
    </w:p>
    <w:p w14:paraId="22A7B599" w14:textId="77777777" w:rsidR="009D02A0" w:rsidRDefault="009D02A0" w:rsidP="000946FF">
      <w:pPr>
        <w:tabs>
          <w:tab w:val="left" w:pos="360"/>
        </w:tabs>
        <w:jc w:val="both"/>
        <w:rPr>
          <w:rFonts w:ascii="Arial" w:hAnsi="Arial" w:cs="Arial"/>
          <w:bCs/>
          <w:sz w:val="20"/>
          <w:szCs w:val="20"/>
        </w:rPr>
      </w:pPr>
    </w:p>
    <w:p w14:paraId="16EE7564" w14:textId="2A7904D7" w:rsidR="005B040C" w:rsidRPr="005B040C" w:rsidRDefault="00E25473" w:rsidP="005B040C">
      <w:pPr>
        <w:tabs>
          <w:tab w:val="left" w:pos="360"/>
        </w:tabs>
        <w:jc w:val="both"/>
        <w:rPr>
          <w:rFonts w:ascii="Arial" w:hAnsi="Arial" w:cs="Arial"/>
          <w:sz w:val="20"/>
          <w:szCs w:val="20"/>
        </w:rPr>
      </w:pPr>
      <w:r w:rsidRPr="006B3824">
        <w:rPr>
          <w:rFonts w:ascii="Arial" w:hAnsi="Arial" w:cs="Arial"/>
          <w:b/>
          <w:sz w:val="20"/>
          <w:szCs w:val="20"/>
        </w:rPr>
        <w:t>Conclusions</w:t>
      </w:r>
      <w:r w:rsidR="00CF32EF">
        <w:rPr>
          <w:rFonts w:ascii="Arial" w:hAnsi="Arial" w:cs="Arial"/>
          <w:b/>
          <w:sz w:val="20"/>
          <w:szCs w:val="20"/>
        </w:rPr>
        <w:t xml:space="preserve"> -</w:t>
      </w:r>
      <w:r w:rsidR="009D02A0">
        <w:rPr>
          <w:rFonts w:ascii="Arial" w:hAnsi="Arial" w:cs="Arial"/>
          <w:b/>
          <w:sz w:val="20"/>
          <w:szCs w:val="20"/>
        </w:rPr>
        <w:t xml:space="preserve"> </w:t>
      </w:r>
      <w:r w:rsidR="005B040C" w:rsidRPr="005B040C">
        <w:rPr>
          <w:rFonts w:ascii="Arial" w:hAnsi="Arial" w:cs="Arial"/>
          <w:sz w:val="20"/>
          <w:szCs w:val="20"/>
        </w:rPr>
        <w:t xml:space="preserve">We identified PME as a new and sensitive </w:t>
      </w:r>
      <w:r w:rsidR="005B040C" w:rsidRPr="005B040C">
        <w:rPr>
          <w:rFonts w:ascii="Arial" w:hAnsi="Arial" w:cs="Arial"/>
          <w:sz w:val="20"/>
          <w:szCs w:val="20"/>
          <w:vertAlign w:val="superscript"/>
        </w:rPr>
        <w:t>31</w:t>
      </w:r>
      <w:r w:rsidR="005B040C" w:rsidRPr="005B040C">
        <w:rPr>
          <w:rFonts w:ascii="Arial" w:hAnsi="Arial" w:cs="Arial"/>
          <w:sz w:val="20"/>
          <w:szCs w:val="20"/>
        </w:rPr>
        <w:t xml:space="preserve">P-MRS biomarker of disease progression and response to gene therapy in </w:t>
      </w:r>
      <w:r w:rsidR="005B040C" w:rsidRPr="008517CD">
        <w:rPr>
          <w:rFonts w:ascii="Arial" w:hAnsi="Arial" w:cs="Arial"/>
          <w:i/>
          <w:sz w:val="20"/>
          <w:szCs w:val="20"/>
        </w:rPr>
        <w:t>Gaa</w:t>
      </w:r>
      <w:r w:rsidR="005B040C" w:rsidRPr="008517CD">
        <w:rPr>
          <w:rFonts w:ascii="Arial" w:hAnsi="Arial" w:cs="Arial"/>
          <w:i/>
          <w:sz w:val="20"/>
          <w:szCs w:val="20"/>
          <w:vertAlign w:val="superscript"/>
        </w:rPr>
        <w:t>-/-</w:t>
      </w:r>
      <w:r w:rsidR="005B040C" w:rsidRPr="005B040C">
        <w:rPr>
          <w:rFonts w:ascii="Arial" w:hAnsi="Arial" w:cs="Arial"/>
          <w:sz w:val="20"/>
          <w:szCs w:val="20"/>
        </w:rPr>
        <w:t xml:space="preserve"> mice.  rAAV treatment not only restored normal levels of GAA activity and induced glycogen clearance but also significantly decreased the PME signal. Elevated PME levels have previously been observed in patients with glycogen storage disorder type III.</w:t>
      </w:r>
      <w:r w:rsidR="00CF32EF">
        <w:rPr>
          <w:rFonts w:ascii="Arial" w:hAnsi="Arial" w:cs="Arial"/>
          <w:sz w:val="20"/>
          <w:szCs w:val="20"/>
          <w:vertAlign w:val="superscript"/>
        </w:rPr>
        <w:t>1</w:t>
      </w:r>
      <w:r w:rsidR="005B040C" w:rsidRPr="005B040C">
        <w:rPr>
          <w:rFonts w:ascii="Arial" w:hAnsi="Arial" w:cs="Arial"/>
          <w:sz w:val="20"/>
          <w:szCs w:val="20"/>
        </w:rPr>
        <w:t xml:space="preserve"> Our HR-MAS results</w:t>
      </w:r>
      <w:r w:rsidR="00FF579A">
        <w:rPr>
          <w:rFonts w:ascii="Arial" w:hAnsi="Arial" w:cs="Arial"/>
          <w:sz w:val="20"/>
          <w:szCs w:val="20"/>
        </w:rPr>
        <w:t xml:space="preserve"> suggest that accumulation of G6</w:t>
      </w:r>
      <w:r w:rsidR="005B040C" w:rsidRPr="005B040C">
        <w:rPr>
          <w:rFonts w:ascii="Arial" w:hAnsi="Arial" w:cs="Arial"/>
          <w:sz w:val="20"/>
          <w:szCs w:val="20"/>
        </w:rPr>
        <w:t xml:space="preserve">P may greatly contributes in the higher </w:t>
      </w:r>
      <w:r w:rsidR="005B040C" w:rsidRPr="005B040C">
        <w:rPr>
          <w:rFonts w:ascii="Arial" w:hAnsi="Arial" w:cs="Arial"/>
          <w:i/>
          <w:sz w:val="20"/>
          <w:szCs w:val="20"/>
        </w:rPr>
        <w:t>in vivo</w:t>
      </w:r>
      <w:r w:rsidR="005B040C" w:rsidRPr="005B040C">
        <w:rPr>
          <w:rFonts w:ascii="Arial" w:hAnsi="Arial" w:cs="Arial"/>
          <w:sz w:val="20"/>
          <w:szCs w:val="20"/>
        </w:rPr>
        <w:t xml:space="preserve"> PME signal. This is consistent with recent work in </w:t>
      </w:r>
      <w:r w:rsidR="005B040C" w:rsidRPr="008517CD">
        <w:rPr>
          <w:rFonts w:ascii="Arial" w:hAnsi="Arial" w:cs="Arial"/>
          <w:i/>
          <w:sz w:val="20"/>
          <w:szCs w:val="20"/>
        </w:rPr>
        <w:t>Gaa</w:t>
      </w:r>
      <w:r w:rsidR="005B040C" w:rsidRPr="008517CD">
        <w:rPr>
          <w:rFonts w:ascii="Arial" w:hAnsi="Arial" w:cs="Arial"/>
          <w:i/>
          <w:sz w:val="20"/>
          <w:szCs w:val="20"/>
          <w:vertAlign w:val="superscript"/>
        </w:rPr>
        <w:t>-/-</w:t>
      </w:r>
      <w:r w:rsidR="00FF579A">
        <w:rPr>
          <w:rFonts w:ascii="Arial" w:hAnsi="Arial" w:cs="Arial"/>
          <w:sz w:val="20"/>
          <w:szCs w:val="20"/>
        </w:rPr>
        <w:t xml:space="preserve"> mice reporting high G6</w:t>
      </w:r>
      <w:r w:rsidR="005B040C" w:rsidRPr="005B040C">
        <w:rPr>
          <w:rFonts w:ascii="Arial" w:hAnsi="Arial" w:cs="Arial"/>
          <w:sz w:val="20"/>
          <w:szCs w:val="20"/>
        </w:rPr>
        <w:t>P concentration and increased glycogen synthase activity.</w:t>
      </w:r>
      <w:r w:rsidR="0044438A">
        <w:rPr>
          <w:rFonts w:ascii="Arial" w:hAnsi="Arial" w:cs="Arial"/>
          <w:sz w:val="20"/>
          <w:szCs w:val="20"/>
          <w:vertAlign w:val="superscript"/>
        </w:rPr>
        <w:t>2</w:t>
      </w:r>
      <w:r w:rsidR="005B040C" w:rsidRPr="005B040C">
        <w:rPr>
          <w:rFonts w:ascii="Arial" w:hAnsi="Arial" w:cs="Arial"/>
          <w:sz w:val="20"/>
          <w:szCs w:val="20"/>
        </w:rPr>
        <w:t xml:space="preserve"> Since </w:t>
      </w:r>
      <w:r w:rsidR="005B040C" w:rsidRPr="005B040C">
        <w:rPr>
          <w:rFonts w:ascii="Arial" w:hAnsi="Arial" w:cs="Arial"/>
          <w:sz w:val="20"/>
          <w:szCs w:val="20"/>
          <w:vertAlign w:val="superscript"/>
        </w:rPr>
        <w:t>31</w:t>
      </w:r>
      <w:r w:rsidR="005B040C" w:rsidRPr="005B040C">
        <w:rPr>
          <w:rFonts w:ascii="Arial" w:hAnsi="Arial" w:cs="Arial"/>
          <w:sz w:val="20"/>
          <w:szCs w:val="20"/>
        </w:rPr>
        <w:t xml:space="preserve">P-MRS has a higher sensitivity than </w:t>
      </w:r>
      <w:r w:rsidR="005B040C" w:rsidRPr="005B040C">
        <w:rPr>
          <w:rFonts w:ascii="Arial" w:hAnsi="Arial" w:cs="Arial"/>
          <w:sz w:val="20"/>
          <w:szCs w:val="20"/>
          <w:vertAlign w:val="superscript"/>
        </w:rPr>
        <w:t>13</w:t>
      </w:r>
      <w:r w:rsidR="005B040C" w:rsidRPr="005B040C">
        <w:rPr>
          <w:rFonts w:ascii="Arial" w:hAnsi="Arial" w:cs="Arial"/>
          <w:sz w:val="20"/>
          <w:szCs w:val="20"/>
        </w:rPr>
        <w:t>C, this approach has potential for clinical translation as a companion biomarker, in particular in the study of adjuvant therapy targeting glycogen metabolism.</w:t>
      </w:r>
      <w:r w:rsidR="007B066A">
        <w:rPr>
          <w:rFonts w:ascii="Arial" w:hAnsi="Arial" w:cs="Arial"/>
          <w:sz w:val="20"/>
          <w:szCs w:val="20"/>
        </w:rPr>
        <w:t xml:space="preserve"> These results have been recently published in ref #3.</w:t>
      </w:r>
    </w:p>
    <w:p w14:paraId="551A49C1" w14:textId="77777777" w:rsidR="00734E94" w:rsidRPr="006B3824" w:rsidRDefault="00734E94" w:rsidP="00150FAE">
      <w:pPr>
        <w:tabs>
          <w:tab w:val="left" w:pos="360"/>
        </w:tabs>
        <w:jc w:val="both"/>
        <w:rPr>
          <w:rFonts w:ascii="Arial" w:hAnsi="Arial" w:cs="Arial"/>
          <w:sz w:val="20"/>
          <w:szCs w:val="20"/>
        </w:rPr>
      </w:pPr>
    </w:p>
    <w:p w14:paraId="5EB6B235" w14:textId="717BBC67" w:rsidR="00F908F6" w:rsidRDefault="00E25473" w:rsidP="005E23A8">
      <w:pPr>
        <w:tabs>
          <w:tab w:val="left" w:pos="360"/>
        </w:tabs>
        <w:jc w:val="both"/>
        <w:rPr>
          <w:rFonts w:ascii="Arial" w:eastAsia="Times New Roman" w:hAnsi="Arial" w:cs="Arial"/>
          <w:sz w:val="20"/>
          <w:szCs w:val="20"/>
          <w:lang w:eastAsia="en-US"/>
        </w:rPr>
      </w:pPr>
      <w:r w:rsidRPr="006B3824">
        <w:rPr>
          <w:rFonts w:ascii="Arial" w:hAnsi="Arial" w:cs="Arial"/>
          <w:b/>
          <w:sz w:val="20"/>
          <w:szCs w:val="20"/>
        </w:rPr>
        <w:t>Acknowledgements</w:t>
      </w:r>
      <w:r w:rsidR="00CF32EF">
        <w:rPr>
          <w:rFonts w:ascii="Arial" w:hAnsi="Arial" w:cs="Arial"/>
          <w:b/>
          <w:sz w:val="20"/>
          <w:szCs w:val="20"/>
        </w:rPr>
        <w:t xml:space="preserve"> - </w:t>
      </w:r>
      <w:r w:rsidR="00FB4399">
        <w:rPr>
          <w:rFonts w:ascii="Arial" w:eastAsia="Times New Roman" w:hAnsi="Arial" w:cs="Arial"/>
          <w:sz w:val="20"/>
          <w:szCs w:val="20"/>
          <w:lang w:eastAsia="en-US"/>
        </w:rPr>
        <w:tab/>
      </w:r>
      <w:r w:rsidR="00FB4399"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00FB4399"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CB24E3">
        <w:rPr>
          <w:rFonts w:ascii="Arial" w:eastAsia="Times New Roman" w:hAnsi="Arial" w:cs="Arial"/>
          <w:sz w:val="20"/>
          <w:szCs w:val="20"/>
          <w:lang w:eastAsia="en-US"/>
        </w:rPr>
        <w:t xml:space="preserve">The study was </w:t>
      </w:r>
      <w:r w:rsidR="00CF32EF">
        <w:rPr>
          <w:rFonts w:ascii="Arial" w:eastAsia="Times New Roman" w:hAnsi="Arial" w:cs="Arial"/>
          <w:sz w:val="20"/>
          <w:szCs w:val="20"/>
          <w:lang w:eastAsia="en-US"/>
        </w:rPr>
        <w:t>f</w:t>
      </w:r>
      <w:r w:rsidR="00426BFA">
        <w:rPr>
          <w:rFonts w:ascii="Arial" w:eastAsia="Times New Roman" w:hAnsi="Arial" w:cs="Arial"/>
          <w:sz w:val="20"/>
          <w:szCs w:val="20"/>
          <w:lang w:eastAsia="en-US"/>
        </w:rPr>
        <w:t xml:space="preserve">unded </w:t>
      </w:r>
      <w:r w:rsidR="000E25DC">
        <w:rPr>
          <w:rFonts w:ascii="Arial" w:eastAsia="Times New Roman" w:hAnsi="Arial" w:cs="Arial"/>
          <w:sz w:val="20"/>
          <w:szCs w:val="20"/>
          <w:lang w:eastAsia="en-US"/>
        </w:rPr>
        <w:t xml:space="preserve">in part </w:t>
      </w:r>
      <w:r w:rsidR="00426BFA">
        <w:rPr>
          <w:rFonts w:ascii="Arial" w:eastAsia="Times New Roman" w:hAnsi="Arial" w:cs="Arial"/>
          <w:sz w:val="20"/>
          <w:szCs w:val="20"/>
          <w:lang w:eastAsia="en-US"/>
        </w:rPr>
        <w:t>by the</w:t>
      </w:r>
      <w:r w:rsidR="00426BFA" w:rsidRPr="00426BFA">
        <w:rPr>
          <w:rFonts w:ascii="Arial" w:eastAsia="Times New Roman" w:hAnsi="Arial" w:cs="Arial"/>
          <w:sz w:val="20"/>
          <w:szCs w:val="20"/>
          <w:lang w:eastAsia="en-US"/>
        </w:rPr>
        <w:t xml:space="preserve"> M</w:t>
      </w:r>
      <w:r w:rsidR="000C1900">
        <w:rPr>
          <w:rFonts w:ascii="Arial" w:eastAsia="Times New Roman" w:hAnsi="Arial" w:cs="Arial"/>
          <w:sz w:val="20"/>
          <w:szCs w:val="20"/>
          <w:lang w:eastAsia="en-US"/>
        </w:rPr>
        <w:t>uscular Dystrophy Association (</w:t>
      </w:r>
      <w:r w:rsidR="00426BFA" w:rsidRPr="00426BFA">
        <w:rPr>
          <w:rFonts w:ascii="Arial" w:eastAsia="Times New Roman" w:hAnsi="Arial" w:cs="Arial"/>
          <w:sz w:val="20"/>
          <w:szCs w:val="20"/>
          <w:lang w:eastAsia="en-US"/>
        </w:rPr>
        <w:t>MDA218585), Southeast Center fo</w:t>
      </w:r>
      <w:r w:rsidR="005D54F5">
        <w:rPr>
          <w:rFonts w:ascii="Arial" w:eastAsia="Times New Roman" w:hAnsi="Arial" w:cs="Arial"/>
          <w:sz w:val="20"/>
          <w:szCs w:val="20"/>
          <w:lang w:eastAsia="en-US"/>
        </w:rPr>
        <w:t>r Integrative Metabolomics (U24</w:t>
      </w:r>
      <w:r w:rsidR="00426BFA" w:rsidRPr="00426BFA">
        <w:rPr>
          <w:rFonts w:ascii="Arial" w:eastAsia="Times New Roman" w:hAnsi="Arial" w:cs="Arial"/>
          <w:sz w:val="20"/>
          <w:szCs w:val="20"/>
          <w:lang w:eastAsia="en-US"/>
        </w:rPr>
        <w:t xml:space="preserve">DK097209), NIAMS </w:t>
      </w:r>
      <w:r w:rsidR="005D54F5">
        <w:rPr>
          <w:rFonts w:ascii="Arial" w:eastAsia="Times New Roman" w:hAnsi="Arial" w:cs="Arial"/>
          <w:sz w:val="20"/>
          <w:szCs w:val="20"/>
          <w:lang w:eastAsia="en-US"/>
        </w:rPr>
        <w:t>(</w:t>
      </w:r>
      <w:r w:rsidR="00426BFA" w:rsidRPr="00426BFA">
        <w:rPr>
          <w:rFonts w:ascii="Arial" w:eastAsia="Times New Roman" w:hAnsi="Arial" w:cs="Arial"/>
          <w:sz w:val="20"/>
          <w:szCs w:val="20"/>
          <w:lang w:eastAsia="en-US"/>
        </w:rPr>
        <w:t>K01AR066077</w:t>
      </w:r>
      <w:r w:rsidR="005D54F5">
        <w:rPr>
          <w:rFonts w:ascii="Arial" w:eastAsia="Times New Roman" w:hAnsi="Arial" w:cs="Arial"/>
          <w:sz w:val="20"/>
          <w:szCs w:val="20"/>
          <w:lang w:eastAsia="en-US"/>
        </w:rPr>
        <w:t>)</w:t>
      </w:r>
      <w:r w:rsidR="00F7385D">
        <w:rPr>
          <w:rFonts w:ascii="Arial" w:eastAsia="Times New Roman" w:hAnsi="Arial" w:cs="Arial"/>
          <w:sz w:val="20"/>
          <w:szCs w:val="20"/>
          <w:lang w:eastAsia="en-US"/>
        </w:rPr>
        <w:t xml:space="preserve"> and NHBLI (</w:t>
      </w:r>
      <w:r w:rsidR="005D54F5">
        <w:rPr>
          <w:rFonts w:ascii="Arial" w:eastAsia="Times New Roman" w:hAnsi="Arial" w:cs="Arial"/>
          <w:sz w:val="20"/>
          <w:szCs w:val="20"/>
          <w:lang w:eastAsia="en-US"/>
        </w:rPr>
        <w:t>P01</w:t>
      </w:r>
      <w:r w:rsidR="00E74AAE" w:rsidRPr="00E74AAE">
        <w:rPr>
          <w:rFonts w:ascii="Arial" w:eastAsia="Times New Roman" w:hAnsi="Arial" w:cs="Arial"/>
          <w:sz w:val="20"/>
          <w:szCs w:val="20"/>
          <w:lang w:eastAsia="en-US"/>
        </w:rPr>
        <w:t>HL59412</w:t>
      </w:r>
      <w:r w:rsidR="005D54F5">
        <w:rPr>
          <w:rFonts w:ascii="Arial" w:eastAsia="Times New Roman" w:hAnsi="Arial" w:cs="Arial"/>
          <w:sz w:val="20"/>
          <w:szCs w:val="20"/>
          <w:lang w:eastAsia="en-US"/>
        </w:rPr>
        <w:t>)</w:t>
      </w:r>
      <w:r w:rsidR="00426BFA">
        <w:rPr>
          <w:rFonts w:ascii="Arial" w:eastAsia="Times New Roman" w:hAnsi="Arial" w:cs="Arial"/>
          <w:sz w:val="20"/>
          <w:szCs w:val="20"/>
          <w:lang w:eastAsia="en-US"/>
        </w:rPr>
        <w:t>.</w:t>
      </w:r>
    </w:p>
    <w:p w14:paraId="70B370CC" w14:textId="77777777" w:rsidR="00CF32EF" w:rsidRDefault="00CF32EF" w:rsidP="005E23A8">
      <w:pPr>
        <w:tabs>
          <w:tab w:val="left" w:pos="360"/>
        </w:tabs>
        <w:jc w:val="both"/>
        <w:rPr>
          <w:rFonts w:ascii="Arial" w:hAnsi="Arial" w:cs="Arial"/>
          <w:sz w:val="20"/>
          <w:szCs w:val="20"/>
        </w:rPr>
      </w:pPr>
    </w:p>
    <w:p w14:paraId="0A6B653B" w14:textId="0A33EA19" w:rsidR="00CF32EF" w:rsidRPr="006B3824" w:rsidRDefault="00CF32EF" w:rsidP="007B066A">
      <w:pPr>
        <w:rPr>
          <w:rFonts w:ascii="Arial" w:hAnsi="Arial" w:cs="Arial"/>
          <w:sz w:val="20"/>
          <w:szCs w:val="20"/>
        </w:rPr>
      </w:pPr>
      <w:r w:rsidRPr="00CF32EF">
        <w:rPr>
          <w:rFonts w:ascii="Arial" w:hAnsi="Arial" w:cs="Arial"/>
          <w:b/>
          <w:sz w:val="20"/>
          <w:szCs w:val="20"/>
        </w:rPr>
        <w:t>Reference</w:t>
      </w:r>
      <w:r w:rsidR="00C267B3">
        <w:rPr>
          <w:rFonts w:ascii="Arial" w:hAnsi="Arial" w:cs="Arial"/>
          <w:b/>
          <w:sz w:val="20"/>
          <w:szCs w:val="20"/>
        </w:rPr>
        <w:t>s</w:t>
      </w:r>
      <w:r w:rsidR="00736ED1">
        <w:rPr>
          <w:rFonts w:ascii="Arial" w:hAnsi="Arial" w:cs="Arial"/>
          <w:b/>
          <w:sz w:val="20"/>
          <w:szCs w:val="20"/>
        </w:rPr>
        <w:t xml:space="preserve"> </w:t>
      </w:r>
      <w:r w:rsidR="00C267B3">
        <w:rPr>
          <w:rFonts w:ascii="Arial" w:hAnsi="Arial" w:cs="Arial"/>
          <w:b/>
          <w:sz w:val="20"/>
          <w:szCs w:val="20"/>
        </w:rPr>
        <w:t xml:space="preserve">- </w:t>
      </w:r>
      <w:r>
        <w:rPr>
          <w:rFonts w:ascii="Arial" w:hAnsi="Arial" w:cs="Arial"/>
          <w:sz w:val="20"/>
          <w:szCs w:val="20"/>
        </w:rPr>
        <w:t>[1] Wary, C</w:t>
      </w:r>
      <w:r w:rsidRPr="006B3824">
        <w:rPr>
          <w:rFonts w:ascii="Arial" w:hAnsi="Arial" w:cs="Arial"/>
          <w:sz w:val="20"/>
          <w:szCs w:val="20"/>
        </w:rPr>
        <w:t xml:space="preserve">., </w:t>
      </w:r>
      <w:r w:rsidRPr="006B3824">
        <w:rPr>
          <w:rFonts w:ascii="Arial" w:hAnsi="Arial" w:cs="Arial"/>
          <w:i/>
          <w:sz w:val="20"/>
          <w:szCs w:val="20"/>
        </w:rPr>
        <w:t>et al</w:t>
      </w:r>
      <w:r>
        <w:rPr>
          <w:rFonts w:ascii="Arial" w:hAnsi="Arial" w:cs="Arial"/>
          <w:sz w:val="20"/>
          <w:szCs w:val="20"/>
        </w:rPr>
        <w:t xml:space="preserve">., </w:t>
      </w:r>
      <w:r w:rsidRPr="00CF32EF">
        <w:rPr>
          <w:rFonts w:ascii="Arial" w:hAnsi="Arial" w:cs="Arial"/>
          <w:b/>
          <w:sz w:val="20"/>
          <w:szCs w:val="20"/>
          <w:lang w:val="fr-FR"/>
        </w:rPr>
        <w:t xml:space="preserve">Neuromuscul Disord. </w:t>
      </w:r>
      <w:r w:rsidRPr="00CF32EF">
        <w:rPr>
          <w:rFonts w:ascii="Arial" w:hAnsi="Arial" w:cs="Arial"/>
          <w:sz w:val="20"/>
          <w:szCs w:val="20"/>
          <w:lang w:val="fr-FR"/>
        </w:rPr>
        <w:t>20(8):548-58</w:t>
      </w:r>
      <w:r w:rsidR="00C267B3">
        <w:rPr>
          <w:rFonts w:ascii="Arial" w:hAnsi="Arial" w:cs="Arial"/>
          <w:sz w:val="20"/>
          <w:szCs w:val="20"/>
          <w:lang w:val="fr-FR"/>
        </w:rPr>
        <w:t xml:space="preserve"> (2010)</w:t>
      </w:r>
      <w:r w:rsidRPr="00CF32EF">
        <w:rPr>
          <w:rFonts w:ascii="Arial" w:hAnsi="Arial" w:cs="Arial"/>
          <w:sz w:val="20"/>
          <w:szCs w:val="20"/>
          <w:lang w:val="fr-FR"/>
        </w:rPr>
        <w:t>.</w:t>
      </w:r>
      <w:r w:rsidR="00913EC0">
        <w:rPr>
          <w:rFonts w:ascii="Arial" w:hAnsi="Arial" w:cs="Arial"/>
          <w:sz w:val="20"/>
          <w:szCs w:val="20"/>
          <w:lang w:val="fr-FR"/>
        </w:rPr>
        <w:t xml:space="preserve"> </w:t>
      </w:r>
      <w:r w:rsidR="00C267B3">
        <w:rPr>
          <w:rFonts w:ascii="Arial" w:hAnsi="Arial" w:cs="Arial"/>
          <w:sz w:val="20"/>
          <w:szCs w:val="20"/>
          <w:lang w:val="fr-FR"/>
        </w:rPr>
        <w:t xml:space="preserve">[2] </w:t>
      </w:r>
      <w:r w:rsidR="00913EC0">
        <w:rPr>
          <w:rFonts w:ascii="Arial" w:hAnsi="Arial" w:cs="Arial"/>
          <w:sz w:val="20"/>
          <w:szCs w:val="20"/>
          <w:lang w:val="fr-FR"/>
        </w:rPr>
        <w:t xml:space="preserve">Taylor, K.M. </w:t>
      </w:r>
      <w:r w:rsidR="00913EC0" w:rsidRPr="00913EC0">
        <w:rPr>
          <w:rFonts w:ascii="Arial" w:hAnsi="Arial" w:cs="Arial"/>
          <w:b/>
          <w:i/>
          <w:sz w:val="20"/>
          <w:szCs w:val="20"/>
        </w:rPr>
        <w:t>PLoS One</w:t>
      </w:r>
      <w:r w:rsidR="00913EC0" w:rsidRPr="00913EC0">
        <w:rPr>
          <w:rFonts w:ascii="Arial" w:hAnsi="Arial" w:cs="Arial"/>
          <w:sz w:val="20"/>
          <w:szCs w:val="20"/>
        </w:rPr>
        <w:t xml:space="preserve"> </w:t>
      </w:r>
      <w:r w:rsidR="00913EC0" w:rsidRPr="00C267B3">
        <w:rPr>
          <w:rFonts w:ascii="Arial" w:hAnsi="Arial" w:cs="Arial"/>
          <w:sz w:val="20"/>
          <w:szCs w:val="20"/>
        </w:rPr>
        <w:t>8: e56181</w:t>
      </w:r>
      <w:r w:rsidR="00C267B3">
        <w:rPr>
          <w:rFonts w:ascii="Arial" w:hAnsi="Arial" w:cs="Arial"/>
          <w:sz w:val="20"/>
          <w:szCs w:val="20"/>
        </w:rPr>
        <w:t xml:space="preserve"> (2013)</w:t>
      </w:r>
      <w:r w:rsidR="00913EC0" w:rsidRPr="00C267B3">
        <w:rPr>
          <w:rFonts w:ascii="Arial" w:hAnsi="Arial" w:cs="Arial"/>
          <w:sz w:val="20"/>
          <w:szCs w:val="20"/>
        </w:rPr>
        <w:t>.</w:t>
      </w:r>
      <w:r w:rsidR="00AF0583">
        <w:rPr>
          <w:rFonts w:ascii="Arial" w:hAnsi="Arial" w:cs="Arial"/>
          <w:sz w:val="20"/>
          <w:szCs w:val="20"/>
        </w:rPr>
        <w:t xml:space="preserve"> [3]</w:t>
      </w:r>
      <w:r w:rsidR="00AF0583" w:rsidRPr="00AF0583">
        <w:rPr>
          <w:rFonts w:ascii="Arial" w:eastAsia="Times New Roman" w:hAnsi="Arial" w:cs="Arial"/>
          <w:color w:val="222222"/>
          <w:sz w:val="20"/>
          <w:szCs w:val="20"/>
          <w:shd w:val="clear" w:color="auto" w:fill="FFFFFF"/>
        </w:rPr>
        <w:t xml:space="preserve"> </w:t>
      </w:r>
      <w:r w:rsidR="00AF0583">
        <w:rPr>
          <w:rFonts w:ascii="Arial" w:eastAsia="Times New Roman" w:hAnsi="Arial" w:cs="Arial"/>
          <w:color w:val="222222"/>
          <w:sz w:val="20"/>
          <w:szCs w:val="20"/>
          <w:shd w:val="clear" w:color="auto" w:fill="FFFFFF"/>
        </w:rPr>
        <w:t xml:space="preserve">Baligand, </w:t>
      </w:r>
      <w:r w:rsidR="00AF0583" w:rsidRPr="00AF0583">
        <w:rPr>
          <w:rFonts w:ascii="Arial" w:eastAsia="Times New Roman" w:hAnsi="Arial" w:cs="Arial"/>
          <w:i/>
          <w:color w:val="222222"/>
          <w:sz w:val="20"/>
          <w:szCs w:val="20"/>
          <w:shd w:val="clear" w:color="auto" w:fill="FFFFFF"/>
        </w:rPr>
        <w:t>et al.</w:t>
      </w:r>
      <w:r w:rsidR="00AF0583">
        <w:rPr>
          <w:rFonts w:ascii="Arial" w:eastAsia="Times New Roman" w:hAnsi="Arial" w:cs="Arial"/>
          <w:color w:val="222222"/>
          <w:sz w:val="20"/>
          <w:szCs w:val="20"/>
          <w:shd w:val="clear" w:color="auto" w:fill="FFFFFF"/>
        </w:rPr>
        <w:t xml:space="preserve"> </w:t>
      </w:r>
      <w:r w:rsidR="00AF0583">
        <w:rPr>
          <w:rFonts w:ascii="Arial" w:eastAsia="Times New Roman" w:hAnsi="Arial" w:cs="Arial"/>
          <w:i/>
          <w:iCs/>
          <w:color w:val="222222"/>
          <w:sz w:val="20"/>
          <w:szCs w:val="20"/>
          <w:shd w:val="clear" w:color="auto" w:fill="FFFFFF"/>
        </w:rPr>
        <w:t>Molecular Therapy-Methods &amp; Clinical Development</w:t>
      </w:r>
      <w:r w:rsidR="00AF0583">
        <w:rPr>
          <w:rFonts w:ascii="Arial" w:eastAsia="Times New Roman" w:hAnsi="Arial" w:cs="Arial"/>
          <w:color w:val="222222"/>
          <w:sz w:val="20"/>
          <w:szCs w:val="20"/>
          <w:shd w:val="clear" w:color="auto" w:fill="FFFFFF"/>
        </w:rPr>
        <w:t> 7: 42-49 (2017).</w:t>
      </w:r>
      <w:r w:rsidR="007B066A" w:rsidRPr="006B3824">
        <w:rPr>
          <w:rFonts w:ascii="Arial" w:hAnsi="Arial" w:cs="Arial"/>
          <w:sz w:val="20"/>
          <w:szCs w:val="20"/>
        </w:rPr>
        <w:t xml:space="preserve"> </w:t>
      </w:r>
    </w:p>
    <w:sectPr w:rsidR="00CF32EF" w:rsidRPr="006B3824" w:rsidSect="00450C97">
      <w:headerReference w:type="default" r:id="rId12"/>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5625" w14:textId="77777777" w:rsidR="00D06D01" w:rsidRDefault="00D06D01">
      <w:r>
        <w:separator/>
      </w:r>
    </w:p>
  </w:endnote>
  <w:endnote w:type="continuationSeparator" w:id="0">
    <w:p w14:paraId="3E1B49EC" w14:textId="77777777" w:rsidR="00D06D01" w:rsidRDefault="00D0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7AB7F" w14:textId="77777777" w:rsidR="00D06D01" w:rsidRDefault="00D06D01">
      <w:r>
        <w:separator/>
      </w:r>
    </w:p>
  </w:footnote>
  <w:footnote w:type="continuationSeparator" w:id="0">
    <w:p w14:paraId="750C6873" w14:textId="77777777" w:rsidR="00D06D01" w:rsidRDefault="00D06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8218E" w14:textId="77777777" w:rsidR="00F974C6" w:rsidRDefault="009D02A0"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0AF966E3" wp14:editId="1CECBCF4">
              <wp:simplePos x="0" y="0"/>
              <wp:positionH relativeFrom="column">
                <wp:posOffset>1200150</wp:posOffset>
              </wp:positionH>
              <wp:positionV relativeFrom="paragraph">
                <wp:posOffset>66040</wp:posOffset>
              </wp:positionV>
              <wp:extent cx="3876675" cy="429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3A683" w14:textId="77777777"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14:paraId="05A7CA7B" w14:textId="77777777"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AF966E3" id="_x0000_t202" coordsize="21600,21600" o:spt="202" path="m0,0l0,21600,21600,21600,2160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5r9IM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ykN1euMqcLo34OYH2AaWY6bO3Gn6xSGlb1qiNvzKWt23nDCILgsnk5OjI44LIOv+&#10;vWZwDdl6HYGGxnahdFAMBOjA0uORmRAKhc3zxXw2m08xomAr8jKfReoSUh1OG+v8W647FCY1tsB8&#10;RCe7O+dDNKQ6uITLnJaCrYSUcWE36xtp0Y6ASlbxiwm8cJMqOCsdjo2I4w4ECXcEWwg3sv5UZnmR&#10;XuflZDVbzCfFqphOynm6mKRZeV3O0qIsblffQ4BZUbWCMa7uhOIHBWbF3zG874VRO1GDqK9xOc2n&#10;I0V/TDKN3++S7ISHhpSiq/Hi6ESqQOwbxSBtUnki5DhPfg4/VhlqcPjHqkQZBOZHDfhhPQBK0MZa&#10;s0cQhNXAF7AOrwhMWm2/YdRDR9bYfd0SyzGS7xSIqsyKIrRwXBTTeQ4Le2pZn1qIogBVY4/ROL3x&#10;Y9tvjRWbFm4aZaz0FQixEVEjz1Ht5QtdF5PZvxChrU/X0ev5HVv+AAAA//8DAFBLAwQUAAYACAAA&#10;ACEAFrt9fd0AAAAJAQAADwAAAGRycy9kb3ducmV2LnhtbEyPzU7DMBCE70i8g7WVuCBqg9rmhzgV&#10;IIG49ucBnHibRI3XUew26duznOA2ox3NflNsZ9eLK46h86ThealAINXedtRoOB4+n1IQIRqypveE&#10;Gm4YYFve3xUmt36iHV73sRFcQiE3GtoYh1zKULfoTFj6AYlvJz86E9mOjbSjmbjc9fJFqY10piP+&#10;0JoBP1qsz/uL03D6nh7X2VR9xWOyW23eTZdU/qb1w2J+ewURcY5/YfjFZ3QomanyF7JB9OzTjLdE&#10;FmoFggNJlq1BVCxSBbIs5P8F5Q8AAAD//wMAUEsBAi0AFAAGAAgAAAAhAOSZw8D7AAAA4QEAABMA&#10;AAAAAAAAAAAAAAAAAAAAAFtDb250ZW50X1R5cGVzXS54bWxQSwECLQAUAAYACAAAACEAI7Jq4dcA&#10;AACUAQAACwAAAAAAAAAAAAAAAAAsAQAAX3JlbHMvLnJlbHNQSwECLQAUAAYACAAAACEAKc5r9IMC&#10;AAAPBQAADgAAAAAAAAAAAAAAAAAsAgAAZHJzL2Uyb0RvYy54bWxQSwECLQAUAAYACAAAACEAFrt9&#10;fd0AAAAJAQAADwAAAAAAAAAAAAAAAADbBAAAZHJzL2Rvd25yZXYueG1sUEsFBgAAAAAEAAQA8wAA&#10;AOUFAAAAAA==&#10;" stroked="f">
              <v:textbox>
                <w:txbxContent>
                  <w:p w14:paraId="4FD3A683" w14:textId="77777777"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14:paraId="05A7CA7B" w14:textId="77777777"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41198FBE" wp14:editId="0CAC4138">
          <wp:extent cx="520700" cy="622300"/>
          <wp:effectExtent l="0" t="0" r="0" b="0"/>
          <wp:docPr id="5"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E1938"/>
    <w:multiLevelType w:val="hybridMultilevel"/>
    <w:tmpl w:val="253E0414"/>
    <w:lvl w:ilvl="0" w:tplc="C94E527E">
      <w:start w:val="1"/>
      <w:numFmt w:val="decimal"/>
      <w:pStyle w:val="BBAuthorName"/>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91A2B"/>
    <w:rsid w:val="0009346E"/>
    <w:rsid w:val="000946FF"/>
    <w:rsid w:val="000A1716"/>
    <w:rsid w:val="000A59A8"/>
    <w:rsid w:val="000B2395"/>
    <w:rsid w:val="000C1900"/>
    <w:rsid w:val="000E1D4F"/>
    <w:rsid w:val="000E25DC"/>
    <w:rsid w:val="000F402E"/>
    <w:rsid w:val="00104A4C"/>
    <w:rsid w:val="00113D92"/>
    <w:rsid w:val="00116EB2"/>
    <w:rsid w:val="00120180"/>
    <w:rsid w:val="0014131B"/>
    <w:rsid w:val="00141FE9"/>
    <w:rsid w:val="00150FAE"/>
    <w:rsid w:val="00155AD2"/>
    <w:rsid w:val="00167606"/>
    <w:rsid w:val="001836FA"/>
    <w:rsid w:val="0018419E"/>
    <w:rsid w:val="0018697C"/>
    <w:rsid w:val="00187023"/>
    <w:rsid w:val="00194E18"/>
    <w:rsid w:val="001B21D1"/>
    <w:rsid w:val="001B7713"/>
    <w:rsid w:val="001C541E"/>
    <w:rsid w:val="001D59E4"/>
    <w:rsid w:val="001E526E"/>
    <w:rsid w:val="001E5ECF"/>
    <w:rsid w:val="001E6BF4"/>
    <w:rsid w:val="0022614E"/>
    <w:rsid w:val="00231335"/>
    <w:rsid w:val="00233F11"/>
    <w:rsid w:val="00241739"/>
    <w:rsid w:val="002426D5"/>
    <w:rsid w:val="002524EE"/>
    <w:rsid w:val="00265A15"/>
    <w:rsid w:val="00290223"/>
    <w:rsid w:val="002C7675"/>
    <w:rsid w:val="00306550"/>
    <w:rsid w:val="00312C04"/>
    <w:rsid w:val="00334CEB"/>
    <w:rsid w:val="003560D2"/>
    <w:rsid w:val="003605D5"/>
    <w:rsid w:val="00363C8F"/>
    <w:rsid w:val="00376D2C"/>
    <w:rsid w:val="00393065"/>
    <w:rsid w:val="003A1FF5"/>
    <w:rsid w:val="003B0CAB"/>
    <w:rsid w:val="003B34A9"/>
    <w:rsid w:val="003C6493"/>
    <w:rsid w:val="003E2F8E"/>
    <w:rsid w:val="003F55A7"/>
    <w:rsid w:val="003F6E7E"/>
    <w:rsid w:val="00410D2C"/>
    <w:rsid w:val="00420894"/>
    <w:rsid w:val="00426BFA"/>
    <w:rsid w:val="00427259"/>
    <w:rsid w:val="0044438A"/>
    <w:rsid w:val="00450C97"/>
    <w:rsid w:val="00486FF9"/>
    <w:rsid w:val="0049187D"/>
    <w:rsid w:val="00491C5D"/>
    <w:rsid w:val="004A227C"/>
    <w:rsid w:val="004A608E"/>
    <w:rsid w:val="004F160B"/>
    <w:rsid w:val="004F709E"/>
    <w:rsid w:val="005034C0"/>
    <w:rsid w:val="00511F7E"/>
    <w:rsid w:val="005173CE"/>
    <w:rsid w:val="0053142A"/>
    <w:rsid w:val="005334D3"/>
    <w:rsid w:val="005452B9"/>
    <w:rsid w:val="00583BC3"/>
    <w:rsid w:val="0058538C"/>
    <w:rsid w:val="005919E9"/>
    <w:rsid w:val="005A1B84"/>
    <w:rsid w:val="005B040C"/>
    <w:rsid w:val="005C4422"/>
    <w:rsid w:val="005C4667"/>
    <w:rsid w:val="005C5648"/>
    <w:rsid w:val="005D54F5"/>
    <w:rsid w:val="005E23A8"/>
    <w:rsid w:val="00625028"/>
    <w:rsid w:val="00627F7D"/>
    <w:rsid w:val="006612DC"/>
    <w:rsid w:val="00672D41"/>
    <w:rsid w:val="006A5A6D"/>
    <w:rsid w:val="006B0D8B"/>
    <w:rsid w:val="006B3824"/>
    <w:rsid w:val="006C4440"/>
    <w:rsid w:val="006D745E"/>
    <w:rsid w:val="006E2CE0"/>
    <w:rsid w:val="006E4A9F"/>
    <w:rsid w:val="00704D6D"/>
    <w:rsid w:val="007207FF"/>
    <w:rsid w:val="00726F84"/>
    <w:rsid w:val="00731C19"/>
    <w:rsid w:val="00734E94"/>
    <w:rsid w:val="00736ED1"/>
    <w:rsid w:val="00764FB5"/>
    <w:rsid w:val="00771745"/>
    <w:rsid w:val="00774A49"/>
    <w:rsid w:val="007B066A"/>
    <w:rsid w:val="007C0813"/>
    <w:rsid w:val="007D3105"/>
    <w:rsid w:val="007E2F28"/>
    <w:rsid w:val="00840C2E"/>
    <w:rsid w:val="008517CD"/>
    <w:rsid w:val="00854F78"/>
    <w:rsid w:val="008627B3"/>
    <w:rsid w:val="00862CB5"/>
    <w:rsid w:val="00883638"/>
    <w:rsid w:val="008A1D84"/>
    <w:rsid w:val="008B05B8"/>
    <w:rsid w:val="008C5788"/>
    <w:rsid w:val="008D1F8B"/>
    <w:rsid w:val="008E2DF3"/>
    <w:rsid w:val="008E5BC5"/>
    <w:rsid w:val="008E5C85"/>
    <w:rsid w:val="008F35CC"/>
    <w:rsid w:val="008F6083"/>
    <w:rsid w:val="00913EC0"/>
    <w:rsid w:val="009648AC"/>
    <w:rsid w:val="009A39F6"/>
    <w:rsid w:val="009A3F73"/>
    <w:rsid w:val="009B41B2"/>
    <w:rsid w:val="009C318D"/>
    <w:rsid w:val="009C3DF0"/>
    <w:rsid w:val="009C7F31"/>
    <w:rsid w:val="009D02A0"/>
    <w:rsid w:val="009D39A4"/>
    <w:rsid w:val="009E4F1E"/>
    <w:rsid w:val="00A1227A"/>
    <w:rsid w:val="00A55035"/>
    <w:rsid w:val="00A758E6"/>
    <w:rsid w:val="00A94FC4"/>
    <w:rsid w:val="00A97CB0"/>
    <w:rsid w:val="00AC297F"/>
    <w:rsid w:val="00AC4AFE"/>
    <w:rsid w:val="00AD3CDD"/>
    <w:rsid w:val="00AD6D3C"/>
    <w:rsid w:val="00AE142B"/>
    <w:rsid w:val="00AF0583"/>
    <w:rsid w:val="00AF7C63"/>
    <w:rsid w:val="00B00CDB"/>
    <w:rsid w:val="00B1350D"/>
    <w:rsid w:val="00B25D4D"/>
    <w:rsid w:val="00B45112"/>
    <w:rsid w:val="00B5585D"/>
    <w:rsid w:val="00B71405"/>
    <w:rsid w:val="00B75DC9"/>
    <w:rsid w:val="00B938F1"/>
    <w:rsid w:val="00B94321"/>
    <w:rsid w:val="00B95FCB"/>
    <w:rsid w:val="00B96080"/>
    <w:rsid w:val="00BA00BE"/>
    <w:rsid w:val="00BA3581"/>
    <w:rsid w:val="00BA7096"/>
    <w:rsid w:val="00BE2257"/>
    <w:rsid w:val="00C02989"/>
    <w:rsid w:val="00C076C7"/>
    <w:rsid w:val="00C13313"/>
    <w:rsid w:val="00C267B3"/>
    <w:rsid w:val="00C75A17"/>
    <w:rsid w:val="00C81666"/>
    <w:rsid w:val="00C83434"/>
    <w:rsid w:val="00C83EAA"/>
    <w:rsid w:val="00C93F0D"/>
    <w:rsid w:val="00CA6625"/>
    <w:rsid w:val="00CB0819"/>
    <w:rsid w:val="00CB1A7C"/>
    <w:rsid w:val="00CB24E3"/>
    <w:rsid w:val="00CB4058"/>
    <w:rsid w:val="00CC5B40"/>
    <w:rsid w:val="00CE3F90"/>
    <w:rsid w:val="00CF0546"/>
    <w:rsid w:val="00CF32EF"/>
    <w:rsid w:val="00D01F6B"/>
    <w:rsid w:val="00D0313F"/>
    <w:rsid w:val="00D06D01"/>
    <w:rsid w:val="00D07879"/>
    <w:rsid w:val="00D1756D"/>
    <w:rsid w:val="00D37D35"/>
    <w:rsid w:val="00D565A9"/>
    <w:rsid w:val="00D65CBB"/>
    <w:rsid w:val="00D67B56"/>
    <w:rsid w:val="00D851F6"/>
    <w:rsid w:val="00DD44E5"/>
    <w:rsid w:val="00DE3216"/>
    <w:rsid w:val="00E04B24"/>
    <w:rsid w:val="00E07ED9"/>
    <w:rsid w:val="00E25473"/>
    <w:rsid w:val="00E411D1"/>
    <w:rsid w:val="00E43BB4"/>
    <w:rsid w:val="00E45613"/>
    <w:rsid w:val="00E5095B"/>
    <w:rsid w:val="00E57E61"/>
    <w:rsid w:val="00E60509"/>
    <w:rsid w:val="00E72633"/>
    <w:rsid w:val="00E74AAE"/>
    <w:rsid w:val="00EA1E33"/>
    <w:rsid w:val="00EB489A"/>
    <w:rsid w:val="00EB515D"/>
    <w:rsid w:val="00F23F2F"/>
    <w:rsid w:val="00F31351"/>
    <w:rsid w:val="00F31B06"/>
    <w:rsid w:val="00F43581"/>
    <w:rsid w:val="00F4530F"/>
    <w:rsid w:val="00F45B22"/>
    <w:rsid w:val="00F52E02"/>
    <w:rsid w:val="00F54466"/>
    <w:rsid w:val="00F7385D"/>
    <w:rsid w:val="00F8198A"/>
    <w:rsid w:val="00F908F6"/>
    <w:rsid w:val="00F935F1"/>
    <w:rsid w:val="00F95583"/>
    <w:rsid w:val="00F974C6"/>
    <w:rsid w:val="00F97787"/>
    <w:rsid w:val="00FB4399"/>
    <w:rsid w:val="00FF23A3"/>
    <w:rsid w:val="00FF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2C98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ListParagraph">
    <w:name w:val="List Paragraph"/>
    <w:basedOn w:val="Normal"/>
    <w:rsid w:val="00CF32EF"/>
    <w:pPr>
      <w:ind w:left="720"/>
      <w:contextualSpacing/>
    </w:pPr>
    <w:rPr>
      <w:rFonts w:eastAsia="Times New Roman"/>
      <w:lang w:val="fr-FR" w:eastAsia="fr-FR"/>
    </w:rPr>
  </w:style>
  <w:style w:type="paragraph" w:customStyle="1" w:styleId="BBAuthorName">
    <w:name w:val="BB_Author_Name"/>
    <w:basedOn w:val="Normal"/>
    <w:next w:val="Normal"/>
    <w:autoRedefine/>
    <w:rsid w:val="00CF32EF"/>
    <w:pPr>
      <w:numPr>
        <w:numId w:val="8"/>
      </w:numPr>
      <w:spacing w:after="180"/>
    </w:pPr>
    <w:rPr>
      <w:rFonts w:ascii="Arial" w:eastAsia="Times New Roman" w:hAnsi="Arial" w:cs="Arial"/>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ListParagraph">
    <w:name w:val="List Paragraph"/>
    <w:basedOn w:val="Normal"/>
    <w:rsid w:val="00CF32EF"/>
    <w:pPr>
      <w:ind w:left="720"/>
      <w:contextualSpacing/>
    </w:pPr>
    <w:rPr>
      <w:rFonts w:eastAsia="Times New Roman"/>
      <w:lang w:val="fr-FR" w:eastAsia="fr-FR"/>
    </w:rPr>
  </w:style>
  <w:style w:type="paragraph" w:customStyle="1" w:styleId="BBAuthorName">
    <w:name w:val="BB_Author_Name"/>
    <w:basedOn w:val="Normal"/>
    <w:next w:val="Normal"/>
    <w:autoRedefine/>
    <w:rsid w:val="00CF32EF"/>
    <w:pPr>
      <w:numPr>
        <w:numId w:val="8"/>
      </w:numPr>
      <w:spacing w:after="180"/>
    </w:pPr>
    <w:rPr>
      <w:rFonts w:ascii="Arial" w:eastAsia="Times New Roman" w:hAnsi="Arial" w:cs="Arial"/>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40249">
      <w:bodyDiv w:val="1"/>
      <w:marLeft w:val="0"/>
      <w:marRight w:val="0"/>
      <w:marTop w:val="0"/>
      <w:marBottom w:val="0"/>
      <w:divBdr>
        <w:top w:val="none" w:sz="0" w:space="0" w:color="auto"/>
        <w:left w:val="none" w:sz="0" w:space="0" w:color="auto"/>
        <w:bottom w:val="none" w:sz="0" w:space="0" w:color="auto"/>
        <w:right w:val="none" w:sz="0" w:space="0" w:color="auto"/>
      </w:divBdr>
    </w:div>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15</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subject/>
  <dc:creator>Anke Toth</dc:creator>
  <cp:keywords/>
  <cp:lastModifiedBy>Anke Toth</cp:lastModifiedBy>
  <cp:revision>4</cp:revision>
  <cp:lastPrinted>2015-07-15T23:10:00Z</cp:lastPrinted>
  <dcterms:created xsi:type="dcterms:W3CDTF">2018-01-06T22:57:00Z</dcterms:created>
  <dcterms:modified xsi:type="dcterms:W3CDTF">2018-04-04T13:17:00Z</dcterms:modified>
</cp:coreProperties>
</file>