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3A9E" w14:textId="77777777" w:rsidR="00DE5384" w:rsidRPr="00DE5384" w:rsidRDefault="00DE5384" w:rsidP="00DE5384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DE5384">
        <w:rPr>
          <w:rFonts w:ascii="Arial" w:hAnsi="Arial" w:cs="Arial"/>
          <w:b/>
          <w:bCs/>
        </w:rPr>
        <w:t>Altered bioenergetics in skeletal muscle of</w:t>
      </w:r>
      <w:r w:rsidR="00D63012">
        <w:rPr>
          <w:rFonts w:ascii="Arial" w:hAnsi="Arial" w:cs="Arial"/>
          <w:b/>
          <w:bCs/>
        </w:rPr>
        <w:t xml:space="preserve"> young</w:t>
      </w:r>
      <w:r w:rsidRPr="00DE5384">
        <w:rPr>
          <w:rFonts w:ascii="Arial" w:hAnsi="Arial" w:cs="Arial"/>
          <w:b/>
          <w:bCs/>
        </w:rPr>
        <w:t xml:space="preserve"> </w:t>
      </w:r>
      <w:r w:rsidRPr="00DE5384">
        <w:rPr>
          <w:rFonts w:ascii="Arial" w:hAnsi="Arial" w:cs="Arial"/>
          <w:b/>
          <w:bCs/>
          <w:i/>
          <w:iCs/>
        </w:rPr>
        <w:t>mdx</w:t>
      </w:r>
      <w:r w:rsidRPr="00DE5384">
        <w:rPr>
          <w:rFonts w:ascii="Arial" w:hAnsi="Arial" w:cs="Arial"/>
          <w:b/>
          <w:bCs/>
        </w:rPr>
        <w:t xml:space="preserve"> mice </w:t>
      </w:r>
    </w:p>
    <w:p w14:paraId="45246DC7" w14:textId="77777777" w:rsidR="00DE5384" w:rsidRDefault="00DE5384" w:rsidP="00DE538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19455D8" w14:textId="2C51525C" w:rsidR="00DE5384" w:rsidRPr="00333D6A" w:rsidRDefault="00DE5384" w:rsidP="00DE538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33D6A">
        <w:rPr>
          <w:rFonts w:ascii="Arial" w:hAnsi="Arial" w:cs="Arial"/>
          <w:bCs/>
          <w:iCs/>
          <w:sz w:val="20"/>
          <w:szCs w:val="20"/>
        </w:rPr>
        <w:t>Guice, K.</w:t>
      </w:r>
      <w:r w:rsidR="00575172" w:rsidRPr="00333D6A">
        <w:rPr>
          <w:rFonts w:ascii="Arial" w:hAnsi="Arial" w:cs="Arial"/>
          <w:bCs/>
          <w:iCs/>
          <w:sz w:val="20"/>
          <w:szCs w:val="20"/>
        </w:rPr>
        <w:t xml:space="preserve"> (UF, Physical Therapy)</w:t>
      </w:r>
      <w:r w:rsidR="00333D6A">
        <w:rPr>
          <w:rFonts w:ascii="Arial" w:hAnsi="Arial" w:cs="Arial"/>
          <w:bCs/>
          <w:iCs/>
          <w:sz w:val="20"/>
          <w:szCs w:val="20"/>
        </w:rPr>
        <w:t>;</w:t>
      </w:r>
      <w:r w:rsidRPr="00333D6A">
        <w:rPr>
          <w:rFonts w:ascii="Arial" w:hAnsi="Arial" w:cs="Arial"/>
          <w:bCs/>
          <w:iCs/>
          <w:sz w:val="20"/>
          <w:szCs w:val="20"/>
        </w:rPr>
        <w:t xml:space="preserve"> Lopez, C</w:t>
      </w:r>
      <w:r w:rsidR="00A713C6" w:rsidRPr="00333D6A">
        <w:rPr>
          <w:rFonts w:ascii="Arial" w:hAnsi="Arial" w:cs="Arial"/>
          <w:bCs/>
          <w:iCs/>
          <w:sz w:val="20"/>
          <w:szCs w:val="20"/>
        </w:rPr>
        <w:t>. (UF, Physical Therapy)</w:t>
      </w:r>
      <w:r w:rsidR="00333D6A">
        <w:rPr>
          <w:rFonts w:ascii="Arial" w:hAnsi="Arial" w:cs="Arial"/>
          <w:bCs/>
          <w:iCs/>
          <w:sz w:val="20"/>
          <w:szCs w:val="20"/>
        </w:rPr>
        <w:t>;</w:t>
      </w:r>
      <w:r w:rsidRPr="00333D6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10235" w:rsidRPr="00333D6A">
        <w:rPr>
          <w:rFonts w:ascii="Arial" w:hAnsi="Arial" w:cs="Arial"/>
          <w:bCs/>
          <w:iCs/>
          <w:sz w:val="20"/>
          <w:szCs w:val="20"/>
        </w:rPr>
        <w:t>Zeng, H. (UF, AMRIS)</w:t>
      </w:r>
      <w:r w:rsidR="00333D6A">
        <w:rPr>
          <w:rFonts w:ascii="Arial" w:hAnsi="Arial" w:cs="Arial"/>
          <w:bCs/>
          <w:iCs/>
          <w:sz w:val="20"/>
          <w:szCs w:val="20"/>
        </w:rPr>
        <w:t>;</w:t>
      </w:r>
      <w:r w:rsidR="00A10235" w:rsidRPr="00333D6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33D6A">
        <w:rPr>
          <w:rFonts w:ascii="Arial" w:hAnsi="Arial" w:cs="Arial"/>
          <w:bCs/>
          <w:iCs/>
          <w:sz w:val="20"/>
          <w:szCs w:val="20"/>
        </w:rPr>
        <w:t>Walter</w:t>
      </w:r>
      <w:r w:rsidRPr="00333D6A">
        <w:rPr>
          <w:rFonts w:ascii="Arial" w:hAnsi="Arial" w:cs="Arial"/>
          <w:bCs/>
          <w:iCs/>
          <w:sz w:val="20"/>
          <w:szCs w:val="20"/>
          <w:vertAlign w:val="superscript"/>
        </w:rPr>
        <w:t>,</w:t>
      </w:r>
      <w:r w:rsidRPr="00333D6A">
        <w:rPr>
          <w:rFonts w:ascii="Arial" w:hAnsi="Arial" w:cs="Arial"/>
          <w:bCs/>
          <w:iCs/>
          <w:sz w:val="20"/>
          <w:szCs w:val="20"/>
        </w:rPr>
        <w:t>, G.A.</w:t>
      </w:r>
      <w:r w:rsidR="00A713C6" w:rsidRPr="00333D6A">
        <w:rPr>
          <w:rFonts w:ascii="Arial" w:hAnsi="Arial" w:cs="Arial"/>
          <w:bCs/>
          <w:iCs/>
          <w:sz w:val="20"/>
          <w:szCs w:val="20"/>
        </w:rPr>
        <w:t xml:space="preserve"> (UF, Physiology and Functional Genomics)</w:t>
      </w:r>
      <w:r w:rsidR="00333D6A">
        <w:rPr>
          <w:rFonts w:ascii="Arial" w:hAnsi="Arial" w:cs="Arial"/>
          <w:bCs/>
          <w:iCs/>
          <w:sz w:val="20"/>
          <w:szCs w:val="20"/>
        </w:rPr>
        <w:t>;</w:t>
      </w:r>
      <w:r w:rsidRPr="00333D6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33D6A">
        <w:rPr>
          <w:rFonts w:ascii="Arial" w:hAnsi="Arial" w:cs="Arial"/>
          <w:bCs/>
          <w:iCs/>
          <w:sz w:val="20"/>
          <w:szCs w:val="20"/>
          <w:u w:val="single"/>
        </w:rPr>
        <w:t>Forbes S.C.</w:t>
      </w:r>
      <w:r w:rsidR="00A713C6" w:rsidRPr="00333D6A">
        <w:rPr>
          <w:rFonts w:ascii="Arial" w:hAnsi="Arial" w:cs="Arial"/>
          <w:bCs/>
          <w:iCs/>
          <w:sz w:val="20"/>
          <w:szCs w:val="20"/>
          <w:u w:val="single"/>
        </w:rPr>
        <w:t xml:space="preserve"> (UF, Physical Therapy)</w:t>
      </w:r>
    </w:p>
    <w:p w14:paraId="52ADFE2F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695027B" w14:textId="2683D42A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5D8D08D1" w14:textId="46D16984" w:rsidR="0097608F" w:rsidRPr="0097608F" w:rsidRDefault="00333D6A" w:rsidP="009760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608F" w:rsidRPr="0097608F">
        <w:rPr>
          <w:rFonts w:ascii="Arial" w:hAnsi="Arial" w:cs="Arial"/>
          <w:sz w:val="20"/>
          <w:szCs w:val="20"/>
        </w:rPr>
        <w:t>Duchenne muscular dystrophy (DMD) is an X-linked genetic disorder that affects one in 3,500 male births, and is due to a deficiency in the protein dystrophin on the membrane of muscle fibers (Hoffman et al. 1987).</w:t>
      </w:r>
      <w:r w:rsidR="00EA53E0">
        <w:rPr>
          <w:rFonts w:ascii="Arial" w:hAnsi="Arial" w:cs="Arial"/>
          <w:sz w:val="20"/>
          <w:szCs w:val="20"/>
        </w:rPr>
        <w:t xml:space="preserve"> </w:t>
      </w:r>
      <w:r w:rsidR="00680346" w:rsidRPr="00680346">
        <w:rPr>
          <w:rFonts w:ascii="Arial" w:hAnsi="Arial" w:cs="Arial"/>
          <w:sz w:val="20"/>
          <w:szCs w:val="20"/>
          <w:vertAlign w:val="superscript"/>
        </w:rPr>
        <w:t>31</w:t>
      </w:r>
      <w:r w:rsidR="00680346" w:rsidRPr="00680346">
        <w:rPr>
          <w:rFonts w:ascii="Arial" w:hAnsi="Arial" w:cs="Arial"/>
          <w:sz w:val="20"/>
          <w:szCs w:val="20"/>
        </w:rPr>
        <w:t>Phosphorus magnetic resonance spectroscopy (</w:t>
      </w:r>
      <w:r w:rsidR="00680346" w:rsidRPr="00680346">
        <w:rPr>
          <w:rFonts w:ascii="Arial" w:hAnsi="Arial" w:cs="Arial"/>
          <w:sz w:val="20"/>
          <w:szCs w:val="20"/>
          <w:vertAlign w:val="superscript"/>
        </w:rPr>
        <w:t>31</w:t>
      </w:r>
      <w:r w:rsidR="00680346" w:rsidRPr="00680346">
        <w:rPr>
          <w:rFonts w:ascii="Arial" w:hAnsi="Arial" w:cs="Arial"/>
          <w:sz w:val="20"/>
          <w:szCs w:val="20"/>
        </w:rPr>
        <w:t>P-MRS) has revealed several metabolic differences between dystrophic and unaffected skeletal muscle</w:t>
      </w:r>
      <w:r w:rsidR="0097608F">
        <w:rPr>
          <w:rFonts w:ascii="Arial" w:hAnsi="Arial" w:cs="Arial"/>
          <w:sz w:val="20"/>
          <w:szCs w:val="20"/>
        </w:rPr>
        <w:t xml:space="preserve"> (</w:t>
      </w:r>
      <w:r w:rsidR="0097608F" w:rsidRPr="0097608F">
        <w:rPr>
          <w:rFonts w:ascii="Arial" w:hAnsi="Arial" w:cs="Arial"/>
          <w:sz w:val="20"/>
          <w:szCs w:val="20"/>
        </w:rPr>
        <w:t>Heier et al., 2014; Percival et al.,</w:t>
      </w:r>
      <w:r w:rsidR="00E36462">
        <w:rPr>
          <w:rFonts w:ascii="Arial" w:hAnsi="Arial" w:cs="Arial"/>
          <w:sz w:val="20"/>
          <w:szCs w:val="20"/>
        </w:rPr>
        <w:t xml:space="preserve"> </w:t>
      </w:r>
      <w:r w:rsidR="0097608F" w:rsidRPr="0097608F">
        <w:rPr>
          <w:rFonts w:ascii="Arial" w:hAnsi="Arial" w:cs="Arial"/>
          <w:sz w:val="20"/>
          <w:szCs w:val="20"/>
        </w:rPr>
        <w:t>2013</w:t>
      </w:r>
      <w:r w:rsidR="0097608F">
        <w:rPr>
          <w:rFonts w:ascii="Arial" w:hAnsi="Arial" w:cs="Arial"/>
          <w:sz w:val="20"/>
          <w:szCs w:val="20"/>
        </w:rPr>
        <w:t>)</w:t>
      </w:r>
      <w:r w:rsidR="00680346" w:rsidRPr="00680346">
        <w:rPr>
          <w:rFonts w:ascii="Arial" w:hAnsi="Arial" w:cs="Arial"/>
          <w:sz w:val="20"/>
          <w:szCs w:val="20"/>
        </w:rPr>
        <w:t xml:space="preserve">. However, </w:t>
      </w:r>
      <w:r w:rsidR="000D11B0">
        <w:rPr>
          <w:rFonts w:ascii="Arial" w:hAnsi="Arial" w:cs="Arial"/>
          <w:sz w:val="20"/>
          <w:szCs w:val="20"/>
        </w:rPr>
        <w:t>how</w:t>
      </w:r>
      <w:r w:rsidR="00680346" w:rsidRPr="00680346">
        <w:rPr>
          <w:rFonts w:ascii="Arial" w:hAnsi="Arial" w:cs="Arial"/>
          <w:sz w:val="20"/>
          <w:szCs w:val="20"/>
        </w:rPr>
        <w:t xml:space="preserve"> metabolic status is affected </w:t>
      </w:r>
      <w:r w:rsidR="00D5635D">
        <w:rPr>
          <w:rFonts w:ascii="Arial" w:hAnsi="Arial" w:cs="Arial"/>
          <w:sz w:val="20"/>
          <w:szCs w:val="20"/>
        </w:rPr>
        <w:t>at a young age</w:t>
      </w:r>
      <w:r w:rsidR="000D11B0">
        <w:rPr>
          <w:rFonts w:ascii="Arial" w:hAnsi="Arial" w:cs="Arial"/>
          <w:sz w:val="20"/>
          <w:szCs w:val="20"/>
        </w:rPr>
        <w:t xml:space="preserve"> during the peak inflammatory phase</w:t>
      </w:r>
      <w:r w:rsidR="00D5635D">
        <w:rPr>
          <w:rFonts w:ascii="Arial" w:hAnsi="Arial" w:cs="Arial"/>
          <w:sz w:val="20"/>
          <w:szCs w:val="20"/>
        </w:rPr>
        <w:t xml:space="preserve"> </w:t>
      </w:r>
      <w:r w:rsidR="00680346" w:rsidRPr="00680346">
        <w:rPr>
          <w:rFonts w:ascii="Arial" w:hAnsi="Arial" w:cs="Arial"/>
          <w:sz w:val="20"/>
          <w:szCs w:val="20"/>
        </w:rPr>
        <w:t xml:space="preserve">in </w:t>
      </w:r>
      <w:r w:rsidR="00680346" w:rsidRPr="00680346">
        <w:rPr>
          <w:rFonts w:ascii="Arial" w:hAnsi="Arial" w:cs="Arial"/>
          <w:i/>
          <w:iCs/>
          <w:sz w:val="20"/>
          <w:szCs w:val="20"/>
        </w:rPr>
        <w:t>mdx</w:t>
      </w:r>
      <w:r w:rsidR="00680346" w:rsidRPr="00680346">
        <w:rPr>
          <w:rFonts w:ascii="Arial" w:hAnsi="Arial" w:cs="Arial"/>
          <w:sz w:val="20"/>
          <w:szCs w:val="20"/>
        </w:rPr>
        <w:t xml:space="preserve"> mice is unclear. </w:t>
      </w:r>
      <w:r w:rsidR="0097608F">
        <w:rPr>
          <w:rFonts w:ascii="Arial" w:hAnsi="Arial" w:cs="Arial"/>
          <w:sz w:val="20"/>
          <w:szCs w:val="20"/>
        </w:rPr>
        <w:t>Therefore, i</w:t>
      </w:r>
      <w:r w:rsidR="00680346" w:rsidRPr="00680346">
        <w:rPr>
          <w:rFonts w:ascii="Arial" w:hAnsi="Arial" w:cs="Arial"/>
          <w:sz w:val="20"/>
          <w:szCs w:val="20"/>
        </w:rPr>
        <w:t>n this stu</w:t>
      </w:r>
      <w:r w:rsidR="0097608F">
        <w:rPr>
          <w:rFonts w:ascii="Arial" w:hAnsi="Arial" w:cs="Arial"/>
          <w:sz w:val="20"/>
          <w:szCs w:val="20"/>
        </w:rPr>
        <w:t>dy</w:t>
      </w:r>
      <w:r w:rsidR="00680346" w:rsidRPr="00680346">
        <w:rPr>
          <w:rFonts w:ascii="Arial" w:hAnsi="Arial" w:cs="Arial"/>
          <w:sz w:val="20"/>
          <w:szCs w:val="20"/>
        </w:rPr>
        <w:t xml:space="preserve"> we compared </w:t>
      </w:r>
      <w:r w:rsidR="00680346" w:rsidRPr="00680346">
        <w:rPr>
          <w:rFonts w:ascii="Arial" w:hAnsi="Arial" w:cs="Arial"/>
          <w:i/>
          <w:iCs/>
          <w:sz w:val="20"/>
          <w:szCs w:val="20"/>
        </w:rPr>
        <w:t>mdx</w:t>
      </w:r>
      <w:r w:rsidR="00680346" w:rsidRPr="00680346">
        <w:rPr>
          <w:rFonts w:ascii="Arial" w:hAnsi="Arial" w:cs="Arial"/>
          <w:sz w:val="20"/>
          <w:szCs w:val="20"/>
        </w:rPr>
        <w:t xml:space="preserve"> to</w:t>
      </w:r>
      <w:r w:rsidR="00680346">
        <w:rPr>
          <w:rFonts w:ascii="Arial" w:hAnsi="Arial" w:cs="Arial"/>
          <w:sz w:val="20"/>
          <w:szCs w:val="20"/>
        </w:rPr>
        <w:t xml:space="preserve"> wild-type mice at</w:t>
      </w:r>
      <w:r w:rsidR="000D11B0">
        <w:rPr>
          <w:rFonts w:ascii="Arial" w:hAnsi="Arial" w:cs="Arial"/>
          <w:sz w:val="20"/>
          <w:szCs w:val="20"/>
        </w:rPr>
        <w:t xml:space="preserve"> </w:t>
      </w:r>
      <w:r w:rsidR="0097608F">
        <w:rPr>
          <w:rFonts w:ascii="Arial" w:hAnsi="Arial" w:cs="Arial"/>
          <w:sz w:val="20"/>
          <w:szCs w:val="20"/>
        </w:rPr>
        <w:t>a young</w:t>
      </w:r>
      <w:r w:rsidR="00D5635D">
        <w:rPr>
          <w:rFonts w:ascii="Arial" w:hAnsi="Arial" w:cs="Arial"/>
          <w:sz w:val="20"/>
          <w:szCs w:val="20"/>
        </w:rPr>
        <w:t xml:space="preserve"> age</w:t>
      </w:r>
      <w:r w:rsidR="0097608F">
        <w:rPr>
          <w:rFonts w:ascii="Arial" w:hAnsi="Arial" w:cs="Arial"/>
          <w:sz w:val="20"/>
          <w:szCs w:val="20"/>
        </w:rPr>
        <w:t xml:space="preserve"> using </w:t>
      </w:r>
      <w:r w:rsidR="0097608F" w:rsidRPr="0097608F">
        <w:rPr>
          <w:rFonts w:ascii="Arial" w:hAnsi="Arial" w:cs="Arial"/>
          <w:sz w:val="20"/>
          <w:szCs w:val="20"/>
          <w:vertAlign w:val="superscript"/>
        </w:rPr>
        <w:t>31</w:t>
      </w:r>
      <w:r w:rsidR="0097608F">
        <w:rPr>
          <w:rFonts w:ascii="Arial" w:hAnsi="Arial" w:cs="Arial"/>
          <w:sz w:val="20"/>
          <w:szCs w:val="20"/>
        </w:rPr>
        <w:t>P-MRS</w:t>
      </w:r>
      <w:r w:rsidR="00D5635D">
        <w:rPr>
          <w:rFonts w:ascii="Arial" w:hAnsi="Arial" w:cs="Arial"/>
          <w:sz w:val="20"/>
          <w:szCs w:val="20"/>
        </w:rPr>
        <w:t>.</w:t>
      </w:r>
      <w:r w:rsidR="00680346" w:rsidRPr="00680346">
        <w:rPr>
          <w:rFonts w:ascii="Arial" w:hAnsi="Arial" w:cs="Arial"/>
          <w:sz w:val="20"/>
          <w:szCs w:val="20"/>
        </w:rPr>
        <w:t xml:space="preserve"> </w:t>
      </w:r>
    </w:p>
    <w:p w14:paraId="0698157E" w14:textId="77777777" w:rsidR="00680346" w:rsidRPr="00342E83" w:rsidRDefault="0097608F" w:rsidP="0049187D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  <w:r w:rsidRPr="00342E83">
        <w:rPr>
          <w:rFonts w:ascii="Arial" w:hAnsi="Arial" w:cs="Arial"/>
          <w:sz w:val="12"/>
          <w:szCs w:val="12"/>
        </w:rPr>
        <w:t xml:space="preserve"> </w:t>
      </w:r>
    </w:p>
    <w:p w14:paraId="137D34E7" w14:textId="77777777" w:rsidR="009751CA" w:rsidRDefault="002524EE" w:rsidP="0049187D">
      <w:pPr>
        <w:tabs>
          <w:tab w:val="left" w:pos="360"/>
        </w:tabs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45634940" w14:textId="6AC9BB7A" w:rsidR="00EA53E0" w:rsidRPr="00EA53E0" w:rsidRDefault="00333D6A" w:rsidP="00EA53E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 w:rsidR="00680346" w:rsidRPr="00680346">
        <w:rPr>
          <w:rFonts w:ascii="Arial" w:hAnsi="Arial" w:cs="Arial"/>
          <w:sz w:val="20"/>
          <w:szCs w:val="20"/>
          <w:vertAlign w:val="superscript"/>
        </w:rPr>
        <w:t>31</w:t>
      </w:r>
      <w:r w:rsidR="00680346" w:rsidRPr="00680346">
        <w:rPr>
          <w:rFonts w:ascii="Arial" w:hAnsi="Arial" w:cs="Arial"/>
          <w:sz w:val="20"/>
          <w:szCs w:val="20"/>
        </w:rPr>
        <w:t>P-MRS data were acquire</w:t>
      </w:r>
      <w:r w:rsidR="00D63012">
        <w:rPr>
          <w:rFonts w:ascii="Arial" w:hAnsi="Arial" w:cs="Arial"/>
          <w:sz w:val="20"/>
          <w:szCs w:val="20"/>
        </w:rPr>
        <w:t xml:space="preserve">d </w:t>
      </w:r>
      <w:r w:rsidR="00D5635D">
        <w:rPr>
          <w:rFonts w:ascii="Arial" w:hAnsi="Arial" w:cs="Arial"/>
          <w:sz w:val="20"/>
          <w:szCs w:val="20"/>
        </w:rPr>
        <w:t>in male wild-type (</w:t>
      </w:r>
      <w:r w:rsidR="00D63012">
        <w:rPr>
          <w:rFonts w:ascii="Arial" w:hAnsi="Arial" w:cs="Arial"/>
          <w:sz w:val="20"/>
          <w:szCs w:val="20"/>
        </w:rPr>
        <w:t>n =5</w:t>
      </w:r>
      <w:r w:rsidR="00D5635D">
        <w:rPr>
          <w:rFonts w:ascii="Arial" w:hAnsi="Arial" w:cs="Arial"/>
          <w:sz w:val="20"/>
          <w:szCs w:val="20"/>
        </w:rPr>
        <w:t xml:space="preserve">) and </w:t>
      </w:r>
      <w:r w:rsidR="00680346" w:rsidRPr="00680346">
        <w:rPr>
          <w:rFonts w:ascii="Arial" w:hAnsi="Arial" w:cs="Arial"/>
          <w:sz w:val="20"/>
          <w:szCs w:val="20"/>
        </w:rPr>
        <w:t>B10-</w:t>
      </w:r>
      <w:r w:rsidR="00680346" w:rsidRPr="00680346">
        <w:rPr>
          <w:rFonts w:ascii="Arial" w:hAnsi="Arial" w:cs="Arial"/>
          <w:i/>
          <w:iCs/>
          <w:sz w:val="20"/>
          <w:szCs w:val="20"/>
        </w:rPr>
        <w:t>mdx</w:t>
      </w:r>
      <w:r w:rsidR="0097608F">
        <w:rPr>
          <w:rFonts w:ascii="Arial" w:hAnsi="Arial" w:cs="Arial"/>
          <w:sz w:val="20"/>
          <w:szCs w:val="20"/>
        </w:rPr>
        <w:t xml:space="preserve"> (n=5) at 6</w:t>
      </w:r>
      <w:r w:rsidR="00D5635D">
        <w:rPr>
          <w:rFonts w:ascii="Arial" w:hAnsi="Arial" w:cs="Arial"/>
          <w:sz w:val="20"/>
          <w:szCs w:val="20"/>
        </w:rPr>
        <w:t>-8 weeks of age</w:t>
      </w:r>
      <w:r w:rsidR="00680346" w:rsidRPr="00680346">
        <w:rPr>
          <w:rFonts w:ascii="Arial" w:hAnsi="Arial" w:cs="Arial"/>
          <w:sz w:val="20"/>
          <w:szCs w:val="20"/>
        </w:rPr>
        <w:t xml:space="preserve"> using an 11.1 T MR system</w:t>
      </w:r>
      <w:r w:rsidR="00D5635D">
        <w:rPr>
          <w:rFonts w:ascii="Arial" w:hAnsi="Arial" w:cs="Arial"/>
          <w:sz w:val="20"/>
          <w:szCs w:val="20"/>
        </w:rPr>
        <w:t xml:space="preserve"> with a Bruker spectrometer</w:t>
      </w:r>
      <w:r w:rsidR="00E36462">
        <w:rPr>
          <w:rFonts w:ascii="Arial" w:hAnsi="Arial" w:cs="Arial"/>
          <w:sz w:val="20"/>
          <w:szCs w:val="20"/>
        </w:rPr>
        <w:t xml:space="preserve"> at</w:t>
      </w:r>
      <w:r w:rsidR="00EA53E0">
        <w:rPr>
          <w:rFonts w:ascii="Arial" w:hAnsi="Arial" w:cs="Arial"/>
          <w:sz w:val="20"/>
          <w:szCs w:val="20"/>
        </w:rPr>
        <w:t xml:space="preserve"> the Advanced Magnetic Resonance Imaging and Spectroscopy (AMRIS) facili</w:t>
      </w:r>
      <w:r w:rsidR="00E36462">
        <w:rPr>
          <w:rFonts w:ascii="Arial" w:hAnsi="Arial" w:cs="Arial"/>
          <w:sz w:val="20"/>
          <w:szCs w:val="20"/>
        </w:rPr>
        <w:t>ty of the University of Florida</w:t>
      </w:r>
      <w:r w:rsidR="00680346" w:rsidRPr="00680346">
        <w:rPr>
          <w:rFonts w:ascii="Arial" w:hAnsi="Arial" w:cs="Arial"/>
          <w:sz w:val="20"/>
          <w:szCs w:val="20"/>
        </w:rPr>
        <w:t xml:space="preserve">.  Data from the posterior compartment of the left lower hindlimb were acquired at rest </w:t>
      </w:r>
      <w:r w:rsidR="0097608F">
        <w:rPr>
          <w:rFonts w:ascii="Arial" w:hAnsi="Arial" w:cs="Arial"/>
          <w:sz w:val="20"/>
          <w:szCs w:val="20"/>
        </w:rPr>
        <w:t>and during and following stimulated muscle contractions</w:t>
      </w:r>
      <w:r w:rsidR="00D5635D">
        <w:rPr>
          <w:rFonts w:ascii="Arial" w:hAnsi="Arial" w:cs="Arial"/>
          <w:sz w:val="20"/>
          <w:szCs w:val="20"/>
        </w:rPr>
        <w:t xml:space="preserve">. </w:t>
      </w:r>
      <w:r w:rsidR="00E36462">
        <w:rPr>
          <w:rFonts w:ascii="Arial" w:hAnsi="Arial" w:cs="Arial"/>
          <w:sz w:val="20"/>
          <w:szCs w:val="20"/>
        </w:rPr>
        <w:t>M</w:t>
      </w:r>
      <w:r w:rsidR="0097608F" w:rsidRPr="0097608F">
        <w:rPr>
          <w:rFonts w:ascii="Arial" w:hAnsi="Arial" w:cs="Arial"/>
          <w:sz w:val="20"/>
          <w:szCs w:val="20"/>
        </w:rPr>
        <w:t xml:space="preserve">uscle contractions </w:t>
      </w:r>
      <w:r w:rsidR="00E36462">
        <w:rPr>
          <w:rFonts w:ascii="Arial" w:hAnsi="Arial" w:cs="Arial"/>
          <w:sz w:val="20"/>
          <w:szCs w:val="20"/>
        </w:rPr>
        <w:t xml:space="preserve">were performed </w:t>
      </w:r>
      <w:r w:rsidR="0097608F" w:rsidRPr="0097608F">
        <w:rPr>
          <w:rFonts w:ascii="Arial" w:hAnsi="Arial" w:cs="Arial"/>
          <w:sz w:val="20"/>
          <w:szCs w:val="20"/>
        </w:rPr>
        <w:t xml:space="preserve">at </w:t>
      </w:r>
      <w:r w:rsidR="00E36462">
        <w:rPr>
          <w:rFonts w:ascii="Arial" w:hAnsi="Arial" w:cs="Arial"/>
          <w:sz w:val="20"/>
          <w:szCs w:val="20"/>
        </w:rPr>
        <w:t xml:space="preserve">the rate of </w:t>
      </w:r>
      <w:r w:rsidR="00EA53E0">
        <w:rPr>
          <w:rFonts w:ascii="Arial" w:hAnsi="Arial" w:cs="Arial"/>
          <w:sz w:val="20"/>
          <w:szCs w:val="20"/>
        </w:rPr>
        <w:t>5 Hz for 2</w:t>
      </w:r>
      <w:r w:rsidR="0097608F" w:rsidRPr="0097608F">
        <w:rPr>
          <w:rFonts w:ascii="Arial" w:hAnsi="Arial" w:cs="Arial"/>
          <w:sz w:val="20"/>
          <w:szCs w:val="20"/>
        </w:rPr>
        <w:t xml:space="preserve"> min with 10 min recovery.</w:t>
      </w:r>
      <w:r w:rsidR="00EA53E0" w:rsidRPr="00EA53E0">
        <w:t xml:space="preserve"> </w:t>
      </w:r>
      <w:r w:rsidR="00EA53E0" w:rsidRPr="00EA53E0">
        <w:rPr>
          <w:rFonts w:ascii="Arial" w:hAnsi="Arial" w:cs="Arial"/>
          <w:sz w:val="20"/>
          <w:szCs w:val="20"/>
        </w:rPr>
        <w:t xml:space="preserve">PCr peaks were fit using principal component analysis. The time constant of PCr recovery  (PCrτ) was calculated using a mono-exponential equation. </w:t>
      </w:r>
    </w:p>
    <w:p w14:paraId="0CFDF318" w14:textId="77777777" w:rsidR="00680346" w:rsidRPr="00342E83" w:rsidRDefault="00EA53E0" w:rsidP="0049187D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 w:rsidRPr="00EA53E0">
        <w:rPr>
          <w:rFonts w:ascii="Arial" w:hAnsi="Arial" w:cs="Arial"/>
          <w:sz w:val="20"/>
          <w:szCs w:val="20"/>
        </w:rPr>
        <w:t xml:space="preserve"> </w:t>
      </w:r>
    </w:p>
    <w:p w14:paraId="0563A734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5B12344E" w14:textId="582A1EF2" w:rsidR="00E25473" w:rsidRPr="006B3824" w:rsidRDefault="00333D6A" w:rsidP="0068034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3E0">
        <w:rPr>
          <w:rFonts w:ascii="Arial" w:hAnsi="Arial" w:cs="Arial"/>
          <w:sz w:val="20"/>
          <w:szCs w:val="20"/>
        </w:rPr>
        <w:t>At rest,</w:t>
      </w:r>
      <w:r w:rsidR="00680346" w:rsidRPr="00680346">
        <w:rPr>
          <w:rFonts w:ascii="Arial" w:hAnsi="Arial" w:cs="Arial"/>
          <w:sz w:val="20"/>
          <w:szCs w:val="20"/>
        </w:rPr>
        <w:t xml:space="preserve"> the ratios of inorganic phosphate (Pi) to phosphocreatine (PCr), phosphomonoesters (PME) to ATP, and phosphodiesterase</w:t>
      </w:r>
      <w:r w:rsidR="00EA53E0">
        <w:rPr>
          <w:rFonts w:ascii="Arial" w:hAnsi="Arial" w:cs="Arial"/>
          <w:sz w:val="20"/>
          <w:szCs w:val="20"/>
        </w:rPr>
        <w:t xml:space="preserve">s (PDE) to ATP </w:t>
      </w:r>
      <w:r w:rsidR="002F55BA">
        <w:rPr>
          <w:rFonts w:ascii="Arial" w:hAnsi="Arial" w:cs="Arial"/>
          <w:sz w:val="20"/>
          <w:szCs w:val="20"/>
        </w:rPr>
        <w:t>are</w:t>
      </w:r>
      <w:r w:rsidR="00EA53E0" w:rsidRPr="00A8216D">
        <w:rPr>
          <w:rFonts w:ascii="Arial" w:hAnsi="Arial" w:cs="Arial"/>
          <w:sz w:val="20"/>
          <w:szCs w:val="20"/>
        </w:rPr>
        <w:t xml:space="preserve"> elevated in</w:t>
      </w:r>
      <w:r w:rsidR="00D5635D" w:rsidRPr="00A8216D">
        <w:rPr>
          <w:rFonts w:ascii="Arial" w:hAnsi="Arial" w:cs="Arial"/>
          <w:sz w:val="20"/>
          <w:szCs w:val="20"/>
        </w:rPr>
        <w:t xml:space="preserve"> </w:t>
      </w:r>
      <w:r w:rsidR="00680346" w:rsidRPr="00A8216D">
        <w:rPr>
          <w:rFonts w:ascii="Arial" w:hAnsi="Arial" w:cs="Arial"/>
          <w:sz w:val="20"/>
          <w:szCs w:val="20"/>
        </w:rPr>
        <w:t>B10-</w:t>
      </w:r>
      <w:r w:rsidR="00680346" w:rsidRPr="00A8216D">
        <w:rPr>
          <w:rFonts w:ascii="Arial" w:hAnsi="Arial" w:cs="Arial"/>
          <w:i/>
          <w:iCs/>
          <w:sz w:val="20"/>
          <w:szCs w:val="20"/>
        </w:rPr>
        <w:t>mdx</w:t>
      </w:r>
      <w:r w:rsidR="00EA53E0" w:rsidRPr="00A8216D">
        <w:rPr>
          <w:rFonts w:ascii="Arial" w:hAnsi="Arial" w:cs="Arial"/>
          <w:iCs/>
          <w:sz w:val="20"/>
          <w:szCs w:val="20"/>
        </w:rPr>
        <w:t xml:space="preserve"> compared to wild-type</w:t>
      </w:r>
      <w:r w:rsidR="002F55BA">
        <w:rPr>
          <w:rFonts w:ascii="Arial" w:hAnsi="Arial" w:cs="Arial"/>
          <w:iCs/>
          <w:sz w:val="20"/>
          <w:szCs w:val="20"/>
        </w:rPr>
        <w:t xml:space="preserve"> (Figure 1)</w:t>
      </w:r>
      <w:r w:rsidR="00EA53E0" w:rsidRPr="00A8216D">
        <w:rPr>
          <w:rFonts w:ascii="Arial" w:hAnsi="Arial" w:cs="Arial"/>
          <w:iCs/>
          <w:sz w:val="20"/>
          <w:szCs w:val="20"/>
        </w:rPr>
        <w:t>.</w:t>
      </w:r>
      <w:r w:rsidR="00E36462" w:rsidRPr="00A8216D">
        <w:rPr>
          <w:rFonts w:ascii="Arial" w:hAnsi="Arial" w:cs="Arial"/>
          <w:iCs/>
          <w:sz w:val="20"/>
          <w:szCs w:val="20"/>
        </w:rPr>
        <w:t xml:space="preserve">  Furthermore, </w:t>
      </w:r>
      <w:r w:rsidR="002F55BA">
        <w:rPr>
          <w:rFonts w:ascii="Arial" w:hAnsi="Arial" w:cs="Arial"/>
          <w:iCs/>
          <w:sz w:val="20"/>
          <w:szCs w:val="20"/>
        </w:rPr>
        <w:t>PCr recovery was</w:t>
      </w:r>
      <w:r w:rsidR="00E36462" w:rsidRPr="00A8216D">
        <w:rPr>
          <w:rFonts w:ascii="Arial" w:hAnsi="Arial" w:cs="Arial"/>
          <w:iCs/>
          <w:sz w:val="20"/>
          <w:szCs w:val="20"/>
        </w:rPr>
        <w:t xml:space="preserve"> slower in B10-mdx </w:t>
      </w:r>
      <w:r w:rsidR="002F55BA">
        <w:rPr>
          <w:rFonts w:ascii="Arial" w:hAnsi="Arial" w:cs="Arial"/>
          <w:iCs/>
          <w:sz w:val="20"/>
          <w:szCs w:val="20"/>
        </w:rPr>
        <w:t>(</w:t>
      </w:r>
      <w:r w:rsidR="002F55BA" w:rsidRPr="00EA53E0">
        <w:rPr>
          <w:rFonts w:ascii="Arial" w:hAnsi="Arial" w:cs="Arial"/>
          <w:sz w:val="20"/>
          <w:szCs w:val="20"/>
        </w:rPr>
        <w:t>PCrτ</w:t>
      </w:r>
      <w:r w:rsidR="002F55BA">
        <w:rPr>
          <w:rFonts w:ascii="Arial" w:hAnsi="Arial" w:cs="Arial"/>
          <w:iCs/>
          <w:sz w:val="20"/>
          <w:szCs w:val="20"/>
        </w:rPr>
        <w:t xml:space="preserve"> = 216.2 </w:t>
      </w:r>
      <w:r w:rsidR="002F55BA" w:rsidRPr="002F55BA">
        <w:rPr>
          <w:rFonts w:ascii="Arial" w:hAnsi="Arial" w:cs="Arial"/>
          <w:iCs/>
          <w:sz w:val="20"/>
          <w:szCs w:val="20"/>
        </w:rPr>
        <w:t>±</w:t>
      </w:r>
      <w:r w:rsidR="002F55BA">
        <w:rPr>
          <w:rFonts w:ascii="Arial" w:hAnsi="Arial" w:cs="Arial"/>
          <w:iCs/>
          <w:sz w:val="20"/>
          <w:szCs w:val="20"/>
        </w:rPr>
        <w:t xml:space="preserve">13.2s) </w:t>
      </w:r>
      <w:r w:rsidR="00E36462" w:rsidRPr="00A8216D">
        <w:rPr>
          <w:rFonts w:ascii="Arial" w:hAnsi="Arial" w:cs="Arial"/>
          <w:iCs/>
          <w:sz w:val="20"/>
          <w:szCs w:val="20"/>
        </w:rPr>
        <w:t>than wild-type</w:t>
      </w:r>
      <w:r w:rsidR="00F046F4">
        <w:rPr>
          <w:rFonts w:ascii="Arial" w:hAnsi="Arial" w:cs="Arial"/>
          <w:iCs/>
          <w:sz w:val="20"/>
          <w:szCs w:val="20"/>
        </w:rPr>
        <w:t xml:space="preserve"> (</w:t>
      </w:r>
      <w:r w:rsidR="002F55BA">
        <w:rPr>
          <w:rFonts w:ascii="Arial" w:hAnsi="Arial" w:cs="Arial"/>
          <w:iCs/>
          <w:sz w:val="20"/>
          <w:szCs w:val="20"/>
        </w:rPr>
        <w:t>156.3</w:t>
      </w:r>
      <w:r w:rsidR="002F55BA" w:rsidRPr="004B23F9">
        <w:rPr>
          <w:rFonts w:ascii="MS Gothic" w:eastAsia="MS Gothic"/>
          <w:color w:val="000000"/>
        </w:rPr>
        <w:t>±</w:t>
      </w:r>
      <w:r w:rsidR="002F55BA">
        <w:rPr>
          <w:rFonts w:ascii="Arial" w:hAnsi="Arial" w:cs="Arial"/>
          <w:iCs/>
          <w:sz w:val="20"/>
          <w:szCs w:val="20"/>
        </w:rPr>
        <w:t>10.0s)</w:t>
      </w:r>
      <w:r w:rsidR="00E36462" w:rsidRPr="00A8216D">
        <w:rPr>
          <w:rFonts w:ascii="Arial" w:hAnsi="Arial" w:cs="Arial"/>
          <w:iCs/>
          <w:sz w:val="20"/>
          <w:szCs w:val="20"/>
        </w:rPr>
        <w:t>.</w:t>
      </w:r>
      <w:r w:rsidR="00E36462">
        <w:rPr>
          <w:rFonts w:ascii="Arial" w:hAnsi="Arial" w:cs="Arial"/>
          <w:i/>
          <w:iCs/>
          <w:sz w:val="20"/>
          <w:szCs w:val="20"/>
        </w:rPr>
        <w:t xml:space="preserve">  </w:t>
      </w:r>
      <w:r w:rsidR="00E36462" w:rsidRPr="00A8216D">
        <w:rPr>
          <w:rFonts w:ascii="Arial" w:hAnsi="Arial" w:cs="Arial"/>
          <w:iCs/>
          <w:sz w:val="20"/>
          <w:szCs w:val="20"/>
        </w:rPr>
        <w:t>No differences were observed between groups in pH at rest or at end of exercise.</w:t>
      </w:r>
      <w:r w:rsidR="00D5635D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46D79F0" w14:textId="77777777" w:rsidR="00680346" w:rsidRPr="00342E83" w:rsidRDefault="00680346" w:rsidP="0049187D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14:paraId="56EBD1B7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2FD9380B" w14:textId="62F20BD8" w:rsidR="009114DF" w:rsidRPr="009114DF" w:rsidRDefault="00333D6A" w:rsidP="009114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14DF" w:rsidRPr="009114DF">
        <w:rPr>
          <w:rFonts w:ascii="Arial" w:hAnsi="Arial" w:cs="Arial"/>
          <w:sz w:val="20"/>
          <w:szCs w:val="20"/>
        </w:rPr>
        <w:t xml:space="preserve">Overall, our results indicate that metabolic status of dystrophic muscle as assessed with </w:t>
      </w:r>
      <w:r w:rsidR="009114DF" w:rsidRPr="009114DF">
        <w:rPr>
          <w:rFonts w:ascii="Arial" w:hAnsi="Arial" w:cs="Arial"/>
          <w:sz w:val="20"/>
          <w:szCs w:val="20"/>
          <w:vertAlign w:val="superscript"/>
        </w:rPr>
        <w:t>31</w:t>
      </w:r>
      <w:r w:rsidR="009114DF" w:rsidRPr="009114DF">
        <w:rPr>
          <w:rFonts w:ascii="Arial" w:hAnsi="Arial" w:cs="Arial"/>
          <w:sz w:val="20"/>
          <w:szCs w:val="20"/>
        </w:rPr>
        <w:t xml:space="preserve">P-MRS is altered in young </w:t>
      </w:r>
      <w:r w:rsidR="009114DF" w:rsidRPr="009114DF">
        <w:rPr>
          <w:rFonts w:ascii="Arial" w:hAnsi="Arial" w:cs="Arial"/>
          <w:i/>
          <w:iCs/>
          <w:sz w:val="20"/>
          <w:szCs w:val="20"/>
        </w:rPr>
        <w:t>mdx</w:t>
      </w:r>
      <w:r w:rsidR="00D5635D">
        <w:rPr>
          <w:rFonts w:ascii="Arial" w:hAnsi="Arial" w:cs="Arial"/>
          <w:sz w:val="20"/>
          <w:szCs w:val="20"/>
        </w:rPr>
        <w:t xml:space="preserve"> mice</w:t>
      </w:r>
      <w:r w:rsidR="009114DF" w:rsidRPr="009114DF">
        <w:rPr>
          <w:rFonts w:ascii="Arial" w:hAnsi="Arial" w:cs="Arial"/>
          <w:sz w:val="20"/>
          <w:szCs w:val="20"/>
        </w:rPr>
        <w:t>.</w:t>
      </w:r>
      <w:r w:rsidR="00A8216D">
        <w:rPr>
          <w:rFonts w:ascii="Arial" w:hAnsi="Arial" w:cs="Arial"/>
          <w:sz w:val="20"/>
          <w:szCs w:val="20"/>
        </w:rPr>
        <w:t xml:space="preserve">  The slower PCr rec</w:t>
      </w:r>
      <w:r w:rsidR="00E36462">
        <w:rPr>
          <w:rFonts w:ascii="Arial" w:hAnsi="Arial" w:cs="Arial"/>
          <w:sz w:val="20"/>
          <w:szCs w:val="20"/>
        </w:rPr>
        <w:t>overy in B10-</w:t>
      </w:r>
      <w:r w:rsidR="00E36462" w:rsidRPr="002F55BA">
        <w:rPr>
          <w:rFonts w:ascii="Arial" w:hAnsi="Arial" w:cs="Arial"/>
          <w:i/>
          <w:sz w:val="20"/>
          <w:szCs w:val="20"/>
        </w:rPr>
        <w:t>mdx</w:t>
      </w:r>
      <w:r w:rsidR="00E36462">
        <w:rPr>
          <w:rFonts w:ascii="Arial" w:hAnsi="Arial" w:cs="Arial"/>
          <w:sz w:val="20"/>
          <w:szCs w:val="20"/>
        </w:rPr>
        <w:t xml:space="preserve"> may be due to reduced oxygen delivery and metabolism, possibly as a consequence of lack of nNOS (Sander et al. 2000; Nelson et al. 2015).</w:t>
      </w:r>
    </w:p>
    <w:p w14:paraId="3B47BA50" w14:textId="77777777" w:rsidR="00734E94" w:rsidRPr="00342E83" w:rsidRDefault="00734E94" w:rsidP="0049187D">
      <w:pPr>
        <w:tabs>
          <w:tab w:val="left" w:pos="360"/>
        </w:tabs>
        <w:rPr>
          <w:rFonts w:ascii="Arial" w:hAnsi="Arial" w:cs="Arial"/>
          <w:sz w:val="12"/>
          <w:szCs w:val="12"/>
        </w:rPr>
      </w:pPr>
    </w:p>
    <w:p w14:paraId="49C3715E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9E108F9" w14:textId="7ABD46D1" w:rsidR="00E25473" w:rsidRDefault="00333D6A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 xml:space="preserve">In addition, </w:t>
      </w:r>
      <w:r w:rsidR="002F55BA">
        <w:rPr>
          <w:rFonts w:ascii="Arial" w:eastAsia="Times New Roman" w:hAnsi="Arial" w:cs="Arial"/>
          <w:sz w:val="20"/>
          <w:szCs w:val="20"/>
          <w:lang w:eastAsia="en-US"/>
        </w:rPr>
        <w:t xml:space="preserve">support was provided </w:t>
      </w:r>
      <w:r w:rsidR="002F55BA" w:rsidRPr="002F55BA">
        <w:rPr>
          <w:rFonts w:ascii="Arial" w:eastAsia="Times New Roman" w:hAnsi="Arial" w:cs="Arial"/>
          <w:sz w:val="20"/>
          <w:szCs w:val="20"/>
          <w:lang w:eastAsia="en-US"/>
        </w:rPr>
        <w:t>NIH/NIAMS R01AR070101</w:t>
      </w:r>
      <w:r w:rsidR="002F55BA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792232E3" w14:textId="77777777" w:rsidR="00680346" w:rsidRPr="00342E83" w:rsidRDefault="00680346" w:rsidP="0049187D">
      <w:pPr>
        <w:tabs>
          <w:tab w:val="left" w:pos="360"/>
        </w:tabs>
        <w:rPr>
          <w:rFonts w:ascii="Arial" w:hAnsi="Arial" w:cs="Arial"/>
          <w:sz w:val="12"/>
          <w:szCs w:val="12"/>
        </w:rPr>
      </w:pPr>
    </w:p>
    <w:p w14:paraId="30072707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D70F510" w14:textId="77777777" w:rsidR="009114DF" w:rsidRPr="00680346" w:rsidRDefault="00680346" w:rsidP="00680346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80346">
        <w:rPr>
          <w:rFonts w:ascii="Arial" w:hAnsi="Arial" w:cs="Arial"/>
          <w:bCs/>
          <w:sz w:val="20"/>
          <w:szCs w:val="20"/>
          <w:lang w:val="fr-FR"/>
        </w:rPr>
        <w:t>Hoffman et al. Cell. 51 (6), 919-928, 1987.</w:t>
      </w:r>
    </w:p>
    <w:p w14:paraId="11761F29" w14:textId="77777777" w:rsidR="00680346" w:rsidRPr="00680346" w:rsidRDefault="00680346" w:rsidP="0068034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80346">
        <w:rPr>
          <w:rFonts w:ascii="Arial" w:hAnsi="Arial" w:cs="Arial"/>
          <w:bCs/>
          <w:sz w:val="20"/>
          <w:szCs w:val="20"/>
          <w:lang w:val="fr-FR"/>
        </w:rPr>
        <w:t>2.   Heier et al. PLoS One, 12;(11):e112477, 2014.</w:t>
      </w:r>
    </w:p>
    <w:p w14:paraId="7B963225" w14:textId="77777777" w:rsidR="00680346" w:rsidRPr="00680346" w:rsidRDefault="00680346" w:rsidP="0068034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80346">
        <w:rPr>
          <w:rFonts w:ascii="Arial" w:hAnsi="Arial" w:cs="Arial"/>
          <w:bCs/>
          <w:sz w:val="20"/>
          <w:szCs w:val="20"/>
          <w:lang w:val="fr-FR"/>
        </w:rPr>
        <w:t xml:space="preserve">3.   Percival et al., </w:t>
      </w:r>
      <w:r w:rsidRPr="00680346">
        <w:rPr>
          <w:rFonts w:ascii="Arial" w:hAnsi="Arial" w:cs="Arial"/>
          <w:bCs/>
          <w:sz w:val="20"/>
          <w:szCs w:val="20"/>
          <w:lang w:val="is-IS"/>
        </w:rPr>
        <w:t>Hum Mol Genet.: 1;22(1):153-67, 2013.</w:t>
      </w:r>
    </w:p>
    <w:p w14:paraId="4C0EB5DE" w14:textId="77777777" w:rsidR="00680346" w:rsidRPr="00680346" w:rsidRDefault="00680346" w:rsidP="0068034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80346">
        <w:rPr>
          <w:rFonts w:ascii="Arial" w:hAnsi="Arial" w:cs="Arial"/>
          <w:bCs/>
          <w:sz w:val="20"/>
          <w:szCs w:val="20"/>
          <w:lang w:val="fr-FR"/>
        </w:rPr>
        <w:t xml:space="preserve">4.   Sander et al. </w:t>
      </w:r>
      <w:r w:rsidRPr="00680346">
        <w:rPr>
          <w:rFonts w:ascii="Arial" w:hAnsi="Arial" w:cs="Arial"/>
          <w:bCs/>
          <w:sz w:val="20"/>
          <w:szCs w:val="20"/>
          <w:lang w:val="pl-PL"/>
        </w:rPr>
        <w:t>Proc Natl Acad Sci U S A.:</w:t>
      </w:r>
      <w:r w:rsidRPr="00680346">
        <w:rPr>
          <w:rFonts w:ascii="Arial" w:hAnsi="Arial" w:cs="Arial"/>
          <w:bCs/>
          <w:sz w:val="20"/>
          <w:szCs w:val="20"/>
        </w:rPr>
        <w:t xml:space="preserve"> </w:t>
      </w:r>
      <w:r w:rsidRPr="00680346">
        <w:rPr>
          <w:rFonts w:ascii="Arial" w:hAnsi="Arial" w:cs="Arial"/>
          <w:bCs/>
          <w:sz w:val="20"/>
          <w:szCs w:val="20"/>
          <w:lang w:val="pl-PL"/>
        </w:rPr>
        <w:t>5;97(25):13818-23</w:t>
      </w:r>
      <w:r w:rsidRPr="00680346">
        <w:rPr>
          <w:rFonts w:ascii="Arial" w:hAnsi="Arial" w:cs="Arial"/>
          <w:bCs/>
          <w:sz w:val="20"/>
          <w:szCs w:val="20"/>
        </w:rPr>
        <w:t>, 2000</w:t>
      </w:r>
      <w:r w:rsidRPr="0068034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6B63EC5F" w14:textId="77777777" w:rsidR="00680346" w:rsidRPr="00680346" w:rsidRDefault="00680346" w:rsidP="0068034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80346">
        <w:rPr>
          <w:rFonts w:ascii="Arial" w:hAnsi="Arial" w:cs="Arial"/>
          <w:bCs/>
          <w:sz w:val="20"/>
          <w:szCs w:val="20"/>
          <w:lang w:val="pl-PL"/>
        </w:rPr>
        <w:t xml:space="preserve">5.   Nelson et al. </w:t>
      </w:r>
      <w:r w:rsidRPr="00680346">
        <w:rPr>
          <w:rFonts w:ascii="Arial" w:hAnsi="Arial" w:cs="Arial"/>
          <w:bCs/>
          <w:sz w:val="20"/>
          <w:szCs w:val="20"/>
          <w:lang w:val="pt-BR"/>
        </w:rPr>
        <w:t>Neurology:10;82(23):2085-91, 2014.</w:t>
      </w:r>
    </w:p>
    <w:p w14:paraId="29D0745D" w14:textId="77777777" w:rsidR="00DE5384" w:rsidRDefault="00C1448B" w:rsidP="00680346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5E7BA5EE" wp14:editId="489984F6">
            <wp:extent cx="4318000" cy="1778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8975DE" w14:textId="13C180D2" w:rsidR="00F908F6" w:rsidRPr="006B3824" w:rsidRDefault="00C1448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EA19E" wp14:editId="2EDAF27B">
                <wp:simplePos x="0" y="0"/>
                <wp:positionH relativeFrom="column">
                  <wp:posOffset>127000</wp:posOffset>
                </wp:positionH>
                <wp:positionV relativeFrom="paragraph">
                  <wp:posOffset>14605</wp:posOffset>
                </wp:positionV>
                <wp:extent cx="5969000" cy="501650"/>
                <wp:effectExtent l="0" t="0" r="0" b="6350"/>
                <wp:wrapThrough wrapText="bothSides">
                  <wp:wrapPolygon edited="0">
                    <wp:start x="0" y="0"/>
                    <wp:lineTo x="0" y="20780"/>
                    <wp:lineTo x="21508" y="20780"/>
                    <wp:lineTo x="2150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D7EEE" w14:textId="35B41A8C" w:rsidR="00F046F4" w:rsidRPr="00376D2C" w:rsidRDefault="00F046F4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A8216D">
                              <w:t xml:space="preserve"> </w:t>
                            </w:r>
                            <w:r w:rsidRPr="00A82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Example </w:t>
                            </w:r>
                            <w:r w:rsidRPr="002F55B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31</w:t>
                            </w:r>
                            <w:r w:rsidRPr="00A82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 spectra acquired at 11.1 T in a control (A) and B10-</w:t>
                            </w:r>
                            <w:r w:rsidRPr="00DA18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mdx</w:t>
                            </w:r>
                            <w:r w:rsidRPr="00A82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mouse (B).  Note the increased inorganic phosphate (Pi) and phosphomonoesters (PME) and reduced phosphocreatine (PCr) in </w:t>
                            </w:r>
                            <w:r w:rsidRPr="00A8216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mdx</w:t>
                            </w:r>
                            <w:r w:rsidRPr="00A82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compared to wild-type.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1.15pt;width:470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" stroked="f">
                <v:textbox>
                  <w:txbxContent>
                    <w:p w14:paraId="174D7EEE" w14:textId="35B41A8C" w:rsidR="00F046F4" w:rsidRPr="00376D2C" w:rsidRDefault="00F046F4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8216D">
                        <w:t xml:space="preserve"> </w:t>
                      </w:r>
                      <w:r w:rsidRPr="00A82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Example </w:t>
                      </w:r>
                      <w:r w:rsidRPr="002F55B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31</w:t>
                      </w:r>
                      <w:r w:rsidRPr="00A8216D">
                        <w:rPr>
                          <w:rFonts w:ascii="Arial" w:hAnsi="Arial" w:cs="Arial"/>
                          <w:sz w:val="18"/>
                          <w:szCs w:val="18"/>
                        </w:rPr>
                        <w:t>P spectra acquired at 11.1 T in a control (A) and B10-</w:t>
                      </w:r>
                      <w:r w:rsidRPr="00DA18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mdx</w:t>
                      </w:r>
                      <w:r w:rsidRPr="00A82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mouse (B).  Note the increased inorganic phosphate (Pi) and phosphomonoesters (PME) and reduced phosphocreatine (PCr) in </w:t>
                      </w:r>
                      <w:r w:rsidRPr="00A8216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mdx</w:t>
                      </w:r>
                      <w:r w:rsidRPr="00A82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compared to wild-type.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908F6" w:rsidRPr="006B3824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E0DC3" w14:textId="77777777" w:rsidR="00C76A88" w:rsidRDefault="00C76A88">
      <w:r>
        <w:separator/>
      </w:r>
    </w:p>
  </w:endnote>
  <w:endnote w:type="continuationSeparator" w:id="0">
    <w:p w14:paraId="6684FD07" w14:textId="77777777" w:rsidR="00C76A88" w:rsidRDefault="00C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0BEC" w14:textId="77777777" w:rsidR="00C76A88" w:rsidRDefault="00C76A88">
      <w:r>
        <w:separator/>
      </w:r>
    </w:p>
  </w:footnote>
  <w:footnote w:type="continuationSeparator" w:id="0">
    <w:p w14:paraId="7AF62E6C" w14:textId="77777777" w:rsidR="00C76A88" w:rsidRDefault="00C7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651CA" w14:textId="77777777" w:rsidR="00F046F4" w:rsidRDefault="00F046F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B0C18" wp14:editId="44ABD69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86E9" w14:textId="77777777" w:rsidR="00F046F4" w:rsidRPr="00091A2B" w:rsidRDefault="00F046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63EB60B9" w14:textId="77777777" w:rsidR="00F046F4" w:rsidRPr="00091A2B" w:rsidRDefault="00F046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0ED386E9" w14:textId="77777777" w:rsidR="00F046F4" w:rsidRPr="00091A2B" w:rsidRDefault="00F046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63EB60B9" w14:textId="77777777" w:rsidR="00F046F4" w:rsidRPr="00091A2B" w:rsidRDefault="00F046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F53A7C9" wp14:editId="17589074">
          <wp:extent cx="516255" cy="626745"/>
          <wp:effectExtent l="0" t="0" r="0" b="825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2EC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90068"/>
    <w:multiLevelType w:val="hybridMultilevel"/>
    <w:tmpl w:val="7DCA2158"/>
    <w:lvl w:ilvl="0" w:tplc="B284E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F297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6ACA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DE0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12E8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5259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FB006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5A3B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BCCC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66B40"/>
    <w:multiLevelType w:val="hybridMultilevel"/>
    <w:tmpl w:val="94A4C034"/>
    <w:lvl w:ilvl="0" w:tplc="07D27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D11B0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2F55BA"/>
    <w:rsid w:val="00306550"/>
    <w:rsid w:val="00312C04"/>
    <w:rsid w:val="00333D6A"/>
    <w:rsid w:val="00334CEB"/>
    <w:rsid w:val="00342E83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F160B"/>
    <w:rsid w:val="004F709E"/>
    <w:rsid w:val="005034C0"/>
    <w:rsid w:val="00511F7E"/>
    <w:rsid w:val="005173CE"/>
    <w:rsid w:val="0053142A"/>
    <w:rsid w:val="005452B9"/>
    <w:rsid w:val="00575172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80346"/>
    <w:rsid w:val="006B3824"/>
    <w:rsid w:val="006C4440"/>
    <w:rsid w:val="006D745E"/>
    <w:rsid w:val="006E2CE0"/>
    <w:rsid w:val="006E4A9F"/>
    <w:rsid w:val="007207FF"/>
    <w:rsid w:val="00731C19"/>
    <w:rsid w:val="00734E94"/>
    <w:rsid w:val="00756296"/>
    <w:rsid w:val="00764FB5"/>
    <w:rsid w:val="00771745"/>
    <w:rsid w:val="00774A49"/>
    <w:rsid w:val="007C0813"/>
    <w:rsid w:val="007D3105"/>
    <w:rsid w:val="007E2F28"/>
    <w:rsid w:val="00837A95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114DF"/>
    <w:rsid w:val="009648AC"/>
    <w:rsid w:val="009751CA"/>
    <w:rsid w:val="0097608F"/>
    <w:rsid w:val="009A39F6"/>
    <w:rsid w:val="009A3F73"/>
    <w:rsid w:val="009B41B2"/>
    <w:rsid w:val="009C318D"/>
    <w:rsid w:val="009C3DF0"/>
    <w:rsid w:val="009C7F31"/>
    <w:rsid w:val="009D39A4"/>
    <w:rsid w:val="009E4F1E"/>
    <w:rsid w:val="00A03BA6"/>
    <w:rsid w:val="00A10235"/>
    <w:rsid w:val="00A1227A"/>
    <w:rsid w:val="00A55035"/>
    <w:rsid w:val="00A713C6"/>
    <w:rsid w:val="00A758E6"/>
    <w:rsid w:val="00A8216D"/>
    <w:rsid w:val="00A94FC4"/>
    <w:rsid w:val="00A97CB0"/>
    <w:rsid w:val="00AC297F"/>
    <w:rsid w:val="00AC4AFE"/>
    <w:rsid w:val="00AD3CDD"/>
    <w:rsid w:val="00AD6D3C"/>
    <w:rsid w:val="00AE142B"/>
    <w:rsid w:val="00AF7C63"/>
    <w:rsid w:val="00B00CDB"/>
    <w:rsid w:val="00B25D4D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1448B"/>
    <w:rsid w:val="00C75A17"/>
    <w:rsid w:val="00C76A88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12B6"/>
    <w:rsid w:val="00CE3F90"/>
    <w:rsid w:val="00D01F6B"/>
    <w:rsid w:val="00D0313F"/>
    <w:rsid w:val="00D07879"/>
    <w:rsid w:val="00D1756D"/>
    <w:rsid w:val="00D5635D"/>
    <w:rsid w:val="00D63012"/>
    <w:rsid w:val="00D65CBB"/>
    <w:rsid w:val="00D67B56"/>
    <w:rsid w:val="00D851F6"/>
    <w:rsid w:val="00DA1847"/>
    <w:rsid w:val="00DD44E5"/>
    <w:rsid w:val="00DE3216"/>
    <w:rsid w:val="00DE5384"/>
    <w:rsid w:val="00E04B24"/>
    <w:rsid w:val="00E07ED9"/>
    <w:rsid w:val="00E25473"/>
    <w:rsid w:val="00E36462"/>
    <w:rsid w:val="00E411D1"/>
    <w:rsid w:val="00E43BB4"/>
    <w:rsid w:val="00E5095B"/>
    <w:rsid w:val="00E57E61"/>
    <w:rsid w:val="00E60509"/>
    <w:rsid w:val="00E94934"/>
    <w:rsid w:val="00EA1E33"/>
    <w:rsid w:val="00EA53E0"/>
    <w:rsid w:val="00EB489A"/>
    <w:rsid w:val="00EB515D"/>
    <w:rsid w:val="00F046F4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935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rsid w:val="0068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rsid w:val="0068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646">
          <w:marLeft w:val="576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94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800">
          <w:marLeft w:val="576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02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dc:description/>
  <cp:lastModifiedBy>Anke Toth</cp:lastModifiedBy>
  <cp:revision>4</cp:revision>
  <cp:lastPrinted>2015-07-15T20:10:00Z</cp:lastPrinted>
  <dcterms:created xsi:type="dcterms:W3CDTF">2018-02-02T17:09:00Z</dcterms:created>
  <dcterms:modified xsi:type="dcterms:W3CDTF">2018-04-03T20:32:00Z</dcterms:modified>
</cp:coreProperties>
</file>