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25B2" w:rsidRPr="00D65CBB" w:rsidRDefault="003225B2" w:rsidP="003225B2">
      <w:pPr>
        <w:tabs>
          <w:tab w:val="left" w:pos="360"/>
        </w:tabs>
        <w:jc w:val="center"/>
        <w:rPr>
          <w:rFonts w:ascii="Arial" w:hAnsi="Arial" w:cs="Arial"/>
          <w:b/>
        </w:rPr>
      </w:pPr>
      <w:r>
        <w:rPr>
          <w:rFonts w:ascii="Arial" w:hAnsi="Arial" w:cs="Arial"/>
          <w:b/>
        </w:rPr>
        <w:t>Forebrain knock-out of torsinA reduces striatal free-water and impairs whole-brain functional connectivity in a symptomatic mouse model of DYT1 dystonia</w:t>
      </w:r>
    </w:p>
    <w:p w:rsidR="003225B2" w:rsidRPr="006B3824" w:rsidRDefault="003225B2" w:rsidP="003225B2">
      <w:pPr>
        <w:tabs>
          <w:tab w:val="left" w:pos="360"/>
        </w:tabs>
        <w:rPr>
          <w:rFonts w:ascii="Arial" w:hAnsi="Arial" w:cs="Arial"/>
          <w:sz w:val="20"/>
          <w:szCs w:val="20"/>
        </w:rPr>
      </w:pPr>
    </w:p>
    <w:p w:rsidR="003225B2" w:rsidRDefault="003225B2" w:rsidP="00120911">
      <w:pPr>
        <w:tabs>
          <w:tab w:val="left" w:pos="360"/>
        </w:tabs>
        <w:jc w:val="both"/>
        <w:rPr>
          <w:rFonts w:ascii="Arial" w:hAnsi="Arial" w:cs="Arial"/>
          <w:sz w:val="20"/>
          <w:szCs w:val="20"/>
        </w:rPr>
      </w:pPr>
      <w:r>
        <w:rPr>
          <w:rFonts w:ascii="Arial" w:hAnsi="Arial" w:cs="Arial"/>
          <w:sz w:val="20"/>
          <w:szCs w:val="20"/>
        </w:rPr>
        <w:t>DeSimone, J.C. (Univ. Florida, Applied Physiology); Pappas, S.S. (Univ. of Michigan, Neurology); Febo, M. (Univ. of Florida, Psychology); Burciu, R.G.</w:t>
      </w:r>
      <w:r w:rsidR="00E1592E">
        <w:rPr>
          <w:rFonts w:ascii="Arial" w:hAnsi="Arial" w:cs="Arial"/>
          <w:sz w:val="20"/>
          <w:szCs w:val="20"/>
        </w:rPr>
        <w:t xml:space="preserve">, </w:t>
      </w:r>
      <w:r>
        <w:rPr>
          <w:rFonts w:ascii="Arial" w:hAnsi="Arial" w:cs="Arial"/>
          <w:sz w:val="20"/>
          <w:szCs w:val="20"/>
        </w:rPr>
        <w:t>Shukla</w:t>
      </w:r>
      <w:r w:rsidR="0018458B">
        <w:rPr>
          <w:rFonts w:ascii="Arial" w:hAnsi="Arial" w:cs="Arial"/>
          <w:sz w:val="20"/>
          <w:szCs w:val="20"/>
        </w:rPr>
        <w:t>, P.</w:t>
      </w:r>
      <w:bookmarkStart w:id="0" w:name="_GoBack"/>
      <w:bookmarkEnd w:id="0"/>
      <w:r>
        <w:rPr>
          <w:rFonts w:ascii="Arial" w:hAnsi="Arial" w:cs="Arial"/>
          <w:sz w:val="20"/>
          <w:szCs w:val="20"/>
        </w:rPr>
        <w:t xml:space="preserve"> (Univ. of Florida, Applied Physiology); Colon-Perez, L.M. (Univ. of Florida, Psychology); Dauer, W.T. (Univ. of Michigan, Neurology); </w:t>
      </w:r>
      <w:r w:rsidRPr="001321B2">
        <w:rPr>
          <w:rFonts w:ascii="Arial" w:hAnsi="Arial" w:cs="Arial"/>
          <w:sz w:val="20"/>
          <w:szCs w:val="20"/>
          <w:u w:val="single"/>
        </w:rPr>
        <w:t>Vaillancourt</w:t>
      </w:r>
      <w:r w:rsidR="00E1592E" w:rsidRPr="001321B2">
        <w:rPr>
          <w:rFonts w:ascii="Arial" w:hAnsi="Arial" w:cs="Arial"/>
          <w:sz w:val="20"/>
          <w:szCs w:val="20"/>
          <w:u w:val="single"/>
        </w:rPr>
        <w:t>,</w:t>
      </w:r>
      <w:r w:rsidRPr="001321B2">
        <w:rPr>
          <w:rFonts w:ascii="Arial" w:hAnsi="Arial" w:cs="Arial"/>
          <w:sz w:val="20"/>
          <w:szCs w:val="20"/>
          <w:u w:val="single"/>
        </w:rPr>
        <w:t xml:space="preserve"> D.E.</w:t>
      </w:r>
      <w:r>
        <w:rPr>
          <w:rFonts w:ascii="Arial" w:hAnsi="Arial" w:cs="Arial"/>
          <w:sz w:val="20"/>
          <w:szCs w:val="20"/>
        </w:rPr>
        <w:t xml:space="preserve"> (Univ. of Florida, Applied </w:t>
      </w:r>
      <w:r w:rsidR="00E94B06">
        <w:rPr>
          <w:rFonts w:ascii="Arial" w:hAnsi="Arial" w:cs="Arial"/>
          <w:sz w:val="20"/>
          <w:szCs w:val="20"/>
        </w:rPr>
        <w:t>Physiology</w:t>
      </w:r>
      <w:r>
        <w:rPr>
          <w:rFonts w:ascii="Arial" w:hAnsi="Arial" w:cs="Arial"/>
          <w:sz w:val="20"/>
          <w:szCs w:val="20"/>
        </w:rPr>
        <w:t>)</w:t>
      </w:r>
    </w:p>
    <w:p w:rsidR="003225B2" w:rsidRPr="006B3824" w:rsidRDefault="003225B2" w:rsidP="003225B2">
      <w:pPr>
        <w:pBdr>
          <w:bottom w:val="single" w:sz="12" w:space="1" w:color="auto"/>
        </w:pBdr>
        <w:tabs>
          <w:tab w:val="left" w:pos="360"/>
        </w:tabs>
        <w:rPr>
          <w:rFonts w:ascii="Arial" w:hAnsi="Arial" w:cs="Arial"/>
          <w:sz w:val="20"/>
          <w:szCs w:val="20"/>
        </w:rPr>
      </w:pPr>
    </w:p>
    <w:p w:rsidR="003225B2" w:rsidRPr="006B3824" w:rsidRDefault="003225B2" w:rsidP="003225B2">
      <w:pPr>
        <w:tabs>
          <w:tab w:val="left" w:pos="360"/>
        </w:tabs>
        <w:rPr>
          <w:rFonts w:ascii="Arial" w:hAnsi="Arial" w:cs="Arial"/>
          <w:sz w:val="20"/>
          <w:szCs w:val="20"/>
        </w:rPr>
      </w:pPr>
    </w:p>
    <w:p w:rsidR="003225B2" w:rsidRPr="002426D5" w:rsidRDefault="003225B2" w:rsidP="003225B2">
      <w:pPr>
        <w:tabs>
          <w:tab w:val="left" w:pos="360"/>
        </w:tabs>
        <w:rPr>
          <w:rFonts w:ascii="Arial" w:hAnsi="Arial" w:cs="Arial"/>
          <w:b/>
          <w:sz w:val="20"/>
          <w:szCs w:val="20"/>
        </w:rPr>
      </w:pPr>
      <w:r w:rsidRPr="006B3824">
        <w:rPr>
          <w:rFonts w:ascii="Arial" w:hAnsi="Arial" w:cs="Arial"/>
          <w:b/>
          <w:sz w:val="20"/>
          <w:szCs w:val="20"/>
        </w:rPr>
        <w:t>Introduction</w:t>
      </w:r>
    </w:p>
    <w:p w:rsidR="00305B17" w:rsidRPr="00250930" w:rsidRDefault="00305B17" w:rsidP="00E1592E">
      <w:pPr>
        <w:autoSpaceDE w:val="0"/>
        <w:autoSpaceDN w:val="0"/>
        <w:adjustRightInd w:val="0"/>
        <w:ind w:firstLine="360"/>
        <w:jc w:val="both"/>
        <w:rPr>
          <w:rFonts w:ascii="AdvTT5235d5a9" w:eastAsiaTheme="minorHAnsi" w:hAnsi="AdvTT5235d5a9" w:cs="AdvTT5235d5a9"/>
          <w:sz w:val="16"/>
          <w:szCs w:val="16"/>
          <w:lang w:eastAsia="en-US"/>
        </w:rPr>
      </w:pPr>
      <w:r w:rsidRPr="00305B17">
        <w:rPr>
          <w:rFonts w:ascii="Arial" w:eastAsiaTheme="minorHAnsi" w:hAnsi="Arial" w:cs="Arial"/>
          <w:sz w:val="20"/>
          <w:szCs w:val="20"/>
          <w:lang w:eastAsia="en-US"/>
        </w:rPr>
        <w:t>Convergent evidence from human and animal studies establishes the striatum as a key region in dystonia pathophysiology</w:t>
      </w:r>
      <w:r w:rsidRPr="00305B17">
        <w:rPr>
          <w:rFonts w:ascii="Arial" w:hAnsi="Arial" w:cs="Arial"/>
          <w:sz w:val="20"/>
          <w:szCs w:val="20"/>
        </w:rPr>
        <w:t xml:space="preserve">. </w:t>
      </w:r>
      <w:r w:rsidRPr="00305B17">
        <w:rPr>
          <w:rFonts w:ascii="Arial" w:eastAsiaTheme="minorHAnsi" w:hAnsi="Arial" w:cs="Arial"/>
          <w:color w:val="000000"/>
          <w:sz w:val="20"/>
          <w:szCs w:val="20"/>
          <w:lang w:eastAsia="en-US"/>
        </w:rPr>
        <w:t>It remains unclear how striatal dysfunction affects network-level changes in functional connectivity (FC) across cortical, subcortical, and cerebellar networks. Understanding how striatal pathology affects network-level FC in pre-clinical models is important for dissecting pathophysiology and providing readouts for disease mo</w:t>
      </w:r>
      <w:r w:rsidRPr="00250930">
        <w:rPr>
          <w:rFonts w:ascii="Arial" w:eastAsiaTheme="minorHAnsi" w:hAnsi="Arial" w:cs="Arial"/>
          <w:color w:val="000000"/>
          <w:sz w:val="20"/>
          <w:szCs w:val="20"/>
          <w:lang w:eastAsia="en-US"/>
        </w:rPr>
        <w:t xml:space="preserve">difying interventions. </w:t>
      </w:r>
      <w:r w:rsidR="00250930" w:rsidRPr="00250930">
        <w:rPr>
          <w:rFonts w:ascii="Arial" w:eastAsiaTheme="minorHAnsi" w:hAnsi="Arial" w:cs="Arial"/>
          <w:sz w:val="20"/>
          <w:szCs w:val="20"/>
          <w:lang w:eastAsia="en-US"/>
        </w:rPr>
        <w:t>We</w:t>
      </w:r>
      <w:r w:rsidRPr="00250930">
        <w:rPr>
          <w:rFonts w:ascii="Arial" w:eastAsiaTheme="minorHAnsi" w:hAnsi="Arial" w:cs="Arial"/>
          <w:sz w:val="20"/>
          <w:szCs w:val="20"/>
          <w:lang w:eastAsia="en-US"/>
        </w:rPr>
        <w:t xml:space="preserve"> acquired in vivo diffusion MRI and resting-state functional MRI in a mouse model characterized by conditional knockout (cKO) of torsinA from forebrain (i.e., striatum, cortex, globus pallidus, basal forebrain, and reticular thalamic nucleus) cholinergic</w:t>
      </w:r>
      <w:r w:rsidR="00250930" w:rsidRPr="00250930">
        <w:rPr>
          <w:rFonts w:ascii="Arial" w:eastAsiaTheme="minorHAnsi" w:hAnsi="Arial" w:cs="Arial"/>
          <w:color w:val="000000"/>
          <w:sz w:val="20"/>
          <w:szCs w:val="20"/>
          <w:lang w:eastAsia="en-US"/>
        </w:rPr>
        <w:t xml:space="preserve"> </w:t>
      </w:r>
      <w:r w:rsidRPr="00250930">
        <w:rPr>
          <w:rFonts w:ascii="Arial" w:eastAsiaTheme="minorHAnsi" w:hAnsi="Arial" w:cs="Arial"/>
          <w:sz w:val="20"/>
          <w:szCs w:val="20"/>
          <w:lang w:eastAsia="en-US"/>
        </w:rPr>
        <w:t>and GABAergic neurons</w:t>
      </w:r>
      <w:r w:rsidRPr="00250930">
        <w:rPr>
          <w:rFonts w:ascii="Arial" w:hAnsi="Arial" w:cs="Arial"/>
          <w:sz w:val="20"/>
          <w:szCs w:val="20"/>
        </w:rPr>
        <w:t>.</w:t>
      </w:r>
      <w:r w:rsidR="00250930" w:rsidRPr="00250930">
        <w:rPr>
          <w:rFonts w:ascii="Arial" w:hAnsi="Arial" w:cs="Arial"/>
          <w:sz w:val="20"/>
          <w:szCs w:val="20"/>
        </w:rPr>
        <w:t xml:space="preserve"> We </w:t>
      </w:r>
      <w:r w:rsidR="00250930" w:rsidRPr="00250930">
        <w:rPr>
          <w:rFonts w:ascii="Arial" w:eastAsiaTheme="minorHAnsi" w:hAnsi="Arial" w:cs="Arial"/>
          <w:sz w:val="20"/>
          <w:szCs w:val="20"/>
          <w:lang w:eastAsia="en-US"/>
        </w:rPr>
        <w:t>test the hypothesis that torsinA loss-of-function in cKO mice causes abnormal microstructural changes in free-water (FW). Further, we examine how microstructural changes in the striatum influence whole-brain functional connectivity patterns</w:t>
      </w:r>
      <w:r w:rsidR="00250930">
        <w:rPr>
          <w:rFonts w:ascii="AdvTT5235d5a9" w:eastAsiaTheme="minorHAnsi" w:hAnsi="AdvTT5235d5a9" w:cs="AdvTT5235d5a9"/>
          <w:sz w:val="16"/>
          <w:szCs w:val="16"/>
          <w:lang w:eastAsia="en-US"/>
        </w:rPr>
        <w:t xml:space="preserve">. </w:t>
      </w:r>
    </w:p>
    <w:p w:rsidR="003225B2" w:rsidRDefault="003225B2" w:rsidP="003225B2">
      <w:pPr>
        <w:tabs>
          <w:tab w:val="left" w:pos="360"/>
        </w:tabs>
        <w:rPr>
          <w:rFonts w:ascii="Arial" w:hAnsi="Arial" w:cs="Arial"/>
          <w:b/>
          <w:sz w:val="20"/>
          <w:szCs w:val="20"/>
        </w:rPr>
      </w:pPr>
    </w:p>
    <w:p w:rsidR="007A18EA" w:rsidRDefault="00F33044" w:rsidP="007A18EA">
      <w:pPr>
        <w:tabs>
          <w:tab w:val="left" w:pos="360"/>
        </w:tabs>
        <w:rPr>
          <w:rFonts w:ascii="Arial" w:hAnsi="Arial" w:cs="Arial"/>
          <w:b/>
          <w:sz w:val="20"/>
          <w:szCs w:val="20"/>
        </w:rPr>
      </w:pPr>
      <w:r>
        <w:rPr>
          <w:rFonts w:ascii="Arial" w:hAnsi="Arial" w:cs="Arial"/>
          <w:b/>
          <w:sz w:val="20"/>
          <w:szCs w:val="20"/>
        </w:rPr>
        <w:t>Experimental</w:t>
      </w:r>
    </w:p>
    <w:p w:rsidR="00250930" w:rsidRPr="007A18EA" w:rsidRDefault="00E1592E" w:rsidP="00E94B06">
      <w:pPr>
        <w:tabs>
          <w:tab w:val="left" w:pos="360"/>
        </w:tabs>
        <w:jc w:val="both"/>
        <w:rPr>
          <w:rFonts w:ascii="Arial" w:hAnsi="Arial" w:cs="Arial"/>
          <w:b/>
          <w:sz w:val="20"/>
          <w:szCs w:val="20"/>
        </w:rPr>
      </w:pPr>
      <w:r>
        <w:rPr>
          <w:rFonts w:ascii="Arial" w:hAnsi="Arial" w:cs="Arial"/>
          <w:sz w:val="20"/>
          <w:szCs w:val="20"/>
        </w:rPr>
        <w:tab/>
      </w:r>
      <w:r w:rsidR="003225B2" w:rsidRPr="0085354A">
        <w:rPr>
          <w:rFonts w:ascii="Arial" w:hAnsi="Arial" w:cs="Arial"/>
          <w:sz w:val="20"/>
          <w:szCs w:val="20"/>
        </w:rPr>
        <w:t>T</w:t>
      </w:r>
      <w:r w:rsidR="003225B2">
        <w:rPr>
          <w:rFonts w:ascii="Arial" w:hAnsi="Arial" w:cs="Arial"/>
          <w:sz w:val="20"/>
          <w:szCs w:val="20"/>
        </w:rPr>
        <w:t>he study utilized</w:t>
      </w:r>
      <w:r w:rsidR="00250930">
        <w:rPr>
          <w:rFonts w:ascii="Arial" w:hAnsi="Arial" w:cs="Arial"/>
          <w:sz w:val="20"/>
          <w:szCs w:val="20"/>
        </w:rPr>
        <w:t xml:space="preserve"> diffusion MRI and a bi-tensor diffusion analysis pipeline</w:t>
      </w:r>
      <w:r w:rsidR="0023305D">
        <w:rPr>
          <w:rFonts w:ascii="Arial" w:hAnsi="Arial" w:cs="Arial"/>
          <w:sz w:val="20"/>
          <w:szCs w:val="20"/>
        </w:rPr>
        <w:t xml:space="preserve"> [1]</w:t>
      </w:r>
      <w:r w:rsidR="00250930">
        <w:rPr>
          <w:rFonts w:ascii="Arial" w:hAnsi="Arial" w:cs="Arial"/>
          <w:sz w:val="20"/>
          <w:szCs w:val="20"/>
        </w:rPr>
        <w:t xml:space="preserve"> to examine microstructural changes in FW as a consequence of torsinA eradication in the forebrain of cKO mice. Functional MRI and a seed-based computational approach was then performed to examine how microstructural changes in the forebrain of cKO mice influences functional connectivity</w:t>
      </w:r>
      <w:r w:rsidR="0023305D">
        <w:rPr>
          <w:rFonts w:ascii="Arial" w:hAnsi="Arial" w:cs="Arial"/>
          <w:sz w:val="20"/>
          <w:szCs w:val="20"/>
        </w:rPr>
        <w:t xml:space="preserve"> [2]</w:t>
      </w:r>
      <w:r w:rsidR="00250930">
        <w:rPr>
          <w:rFonts w:ascii="Arial" w:hAnsi="Arial" w:cs="Arial"/>
          <w:sz w:val="20"/>
          <w:szCs w:val="20"/>
        </w:rPr>
        <w:t xml:space="preserve"> between the striatum and other cortical, subcortical and cerebellar regions. Imaging data was collected on the high field 11T Magnex Scientific magnet at the McKnight Brain Institute at the University of Florida. </w:t>
      </w:r>
    </w:p>
    <w:p w:rsidR="0023305D" w:rsidRDefault="0023305D" w:rsidP="00250930">
      <w:pPr>
        <w:tabs>
          <w:tab w:val="left" w:pos="360"/>
        </w:tabs>
        <w:jc w:val="both"/>
        <w:rPr>
          <w:rFonts w:ascii="Arial" w:hAnsi="Arial" w:cs="Arial"/>
          <w:sz w:val="20"/>
          <w:szCs w:val="20"/>
        </w:rPr>
      </w:pPr>
    </w:p>
    <w:p w:rsidR="0023305D" w:rsidRPr="006B3824" w:rsidRDefault="0023305D" w:rsidP="0023305D">
      <w:pPr>
        <w:tabs>
          <w:tab w:val="left" w:pos="360"/>
        </w:tabs>
        <w:rPr>
          <w:rFonts w:ascii="Arial" w:hAnsi="Arial" w:cs="Arial"/>
          <w:b/>
          <w:sz w:val="20"/>
          <w:szCs w:val="20"/>
        </w:rPr>
      </w:pPr>
      <w:r w:rsidRPr="006B3824">
        <w:rPr>
          <w:rFonts w:ascii="Arial" w:hAnsi="Arial" w:cs="Arial"/>
          <w:b/>
          <w:sz w:val="20"/>
          <w:szCs w:val="20"/>
        </w:rPr>
        <w:t>Results and Discussion</w:t>
      </w:r>
    </w:p>
    <w:p w:rsidR="0023305D" w:rsidRDefault="00E1592E" w:rsidP="0023305D">
      <w:pPr>
        <w:tabs>
          <w:tab w:val="left" w:pos="360"/>
        </w:tabs>
        <w:jc w:val="both"/>
        <w:rPr>
          <w:rFonts w:ascii="Arial" w:hAnsi="Arial" w:cs="Arial"/>
          <w:sz w:val="20"/>
          <w:szCs w:val="20"/>
        </w:rPr>
      </w:pPr>
      <w:r>
        <w:rPr>
          <w:rFonts w:ascii="Arial" w:hAnsi="Arial" w:cs="Arial"/>
          <w:sz w:val="20"/>
          <w:szCs w:val="20"/>
        </w:rPr>
        <w:tab/>
      </w:r>
      <w:r w:rsidR="0023305D">
        <w:rPr>
          <w:rFonts w:ascii="Arial" w:hAnsi="Arial" w:cs="Arial"/>
          <w:sz w:val="20"/>
          <w:szCs w:val="20"/>
        </w:rPr>
        <w:t>The striatum in cKO mice was the only region to exhibit an abnormality in free-water, indicating selective microstructural deficit of that region. Free-water values in cKO mice, but not controls, were inversely related to mean diffusivity. The striatum of cKO mice exhibited widespread increases in functional connectivity with the somatosensory cortex, thalamus, vermis, cerebellar cortex, and brainstem (Fig. 1)</w:t>
      </w:r>
    </w:p>
    <w:p w:rsidR="0023305D" w:rsidRPr="0085354A" w:rsidRDefault="0023305D" w:rsidP="0023305D">
      <w:pPr>
        <w:tabs>
          <w:tab w:val="left" w:pos="360"/>
        </w:tabs>
        <w:jc w:val="both"/>
        <w:rPr>
          <w:rFonts w:ascii="Arial" w:hAnsi="Arial" w:cs="Arial"/>
          <w:sz w:val="20"/>
          <w:szCs w:val="20"/>
        </w:rPr>
      </w:pPr>
    </w:p>
    <w:p w:rsidR="003225B2" w:rsidRPr="006B3824" w:rsidRDefault="005A72DC" w:rsidP="003225B2">
      <w:pPr>
        <w:tabs>
          <w:tab w:val="left" w:pos="360"/>
        </w:tabs>
        <w:rPr>
          <w:rFonts w:ascii="Arial" w:hAnsi="Arial" w:cs="Arial"/>
          <w:sz w:val="20"/>
          <w:szCs w:val="20"/>
        </w:rPr>
      </w:pPr>
      <w:r w:rsidRPr="0023305D">
        <w:rPr>
          <w:rFonts w:ascii="Arial" w:hAnsi="Arial" w:cs="Arial"/>
          <w:noProof/>
          <w:sz w:val="20"/>
          <w:szCs w:val="20"/>
          <w:lang w:eastAsia="en-US"/>
        </w:rPr>
        <mc:AlternateContent>
          <mc:Choice Requires="wps">
            <w:drawing>
              <wp:anchor distT="0" distB="0" distL="114300" distR="114300" simplePos="0" relativeHeight="251659264" behindDoc="0" locked="0" layoutInCell="1" allowOverlap="1" wp14:anchorId="24262853" wp14:editId="66E5B884">
                <wp:simplePos x="0" y="0"/>
                <wp:positionH relativeFrom="column">
                  <wp:posOffset>2645744</wp:posOffset>
                </wp:positionH>
                <wp:positionV relativeFrom="paragraph">
                  <wp:posOffset>490855</wp:posOffset>
                </wp:positionV>
                <wp:extent cx="3014345" cy="503555"/>
                <wp:effectExtent l="0" t="0" r="0" b="0"/>
                <wp:wrapThrough wrapText="bothSides">
                  <wp:wrapPolygon edited="0">
                    <wp:start x="0" y="0"/>
                    <wp:lineTo x="0" y="20429"/>
                    <wp:lineTo x="21432" y="20429"/>
                    <wp:lineTo x="21432" y="0"/>
                    <wp:lineTo x="0" y="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5B2" w:rsidRPr="00E1592E" w:rsidRDefault="003225B2" w:rsidP="0023305D">
                            <w:pPr>
                              <w:jc w:val="both"/>
                              <w:rPr>
                                <w:rFonts w:ascii="Arial" w:hAnsi="Arial" w:cs="Arial"/>
                                <w:sz w:val="18"/>
                                <w:szCs w:val="18"/>
                              </w:rPr>
                            </w:pPr>
                            <w:r w:rsidRPr="00E1592E">
                              <w:rPr>
                                <w:rFonts w:ascii="Arial" w:hAnsi="Arial" w:cs="Arial"/>
                                <w:b/>
                                <w:sz w:val="18"/>
                                <w:szCs w:val="18"/>
                              </w:rPr>
                              <w:t>Fig.1</w:t>
                            </w:r>
                            <w:r w:rsidRPr="00E1592E">
                              <w:rPr>
                                <w:rFonts w:ascii="Arial" w:hAnsi="Arial" w:cs="Arial"/>
                                <w:sz w:val="18"/>
                                <w:szCs w:val="18"/>
                              </w:rPr>
                              <w:t xml:space="preserve"> </w:t>
                            </w:r>
                            <w:r w:rsidR="0023305D" w:rsidRPr="00E1592E">
                              <w:rPr>
                                <w:rFonts w:ascii="Arial" w:hAnsi="Arial" w:cs="Arial"/>
                                <w:sz w:val="18"/>
                                <w:szCs w:val="18"/>
                              </w:rPr>
                              <w:t>shows increased whole-brain functional connectivity with the striatum in cKO mice compared to controls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08.35pt;margin-top:38.65pt;width:237.35pt;height:3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" stroked="f">
                <v:textbox>
                  <w:txbxContent>
                    <w:p w:rsidR="003225B2" w:rsidRPr="00E1592E" w:rsidRDefault="003225B2" w:rsidP="0023305D">
                      <w:pPr>
                        <w:jc w:val="both"/>
                        <w:rPr>
                          <w:rFonts w:ascii="Arial" w:hAnsi="Arial" w:cs="Arial"/>
                          <w:sz w:val="18"/>
                          <w:szCs w:val="18"/>
                        </w:rPr>
                      </w:pPr>
                      <w:r w:rsidRPr="00E1592E">
                        <w:rPr>
                          <w:rFonts w:ascii="Arial" w:hAnsi="Arial" w:cs="Arial"/>
                          <w:b/>
                          <w:sz w:val="18"/>
                          <w:szCs w:val="18"/>
                        </w:rPr>
                        <w:t>Fig.1</w:t>
                      </w:r>
                      <w:r w:rsidRPr="00E1592E">
                        <w:rPr>
                          <w:rFonts w:ascii="Arial" w:hAnsi="Arial" w:cs="Arial"/>
                          <w:sz w:val="18"/>
                          <w:szCs w:val="18"/>
                        </w:rPr>
                        <w:t xml:space="preserve"> </w:t>
                      </w:r>
                      <w:r w:rsidR="0023305D" w:rsidRPr="00E1592E">
                        <w:rPr>
                          <w:rFonts w:ascii="Arial" w:hAnsi="Arial" w:cs="Arial"/>
                          <w:sz w:val="18"/>
                          <w:szCs w:val="18"/>
                        </w:rPr>
                        <w:t>shows increased whole-brain functional connectivity with the striatum in cKO mice compared to controls</w:t>
                      </w:r>
                    </w:p>
                  </w:txbxContent>
                </v:textbox>
                <w10:wrap type="through"/>
              </v:shape>
            </w:pict>
          </mc:Fallback>
        </mc:AlternateContent>
      </w:r>
      <w:r w:rsidR="0023305D" w:rsidRPr="0023305D">
        <w:rPr>
          <w:noProof/>
          <w:lang w:eastAsia="en-US"/>
        </w:rPr>
        <w:drawing>
          <wp:inline distT="0" distB="0" distL="0" distR="0" wp14:anchorId="650E6AF3" wp14:editId="7529E92E">
            <wp:extent cx="2355742" cy="1371274"/>
            <wp:effectExtent l="0" t="0" r="698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8263" cy="1372741"/>
                    </a:xfrm>
                    <a:prstGeom prst="rect">
                      <a:avLst/>
                    </a:prstGeom>
                    <a:noFill/>
                    <a:ln>
                      <a:noFill/>
                    </a:ln>
                  </pic:spPr>
                </pic:pic>
              </a:graphicData>
            </a:graphic>
          </wp:inline>
        </w:drawing>
      </w:r>
    </w:p>
    <w:p w:rsidR="003225B2" w:rsidRPr="006B3824" w:rsidRDefault="003225B2" w:rsidP="0023305D">
      <w:pPr>
        <w:tabs>
          <w:tab w:val="left" w:pos="360"/>
        </w:tabs>
        <w:jc w:val="both"/>
        <w:rPr>
          <w:rFonts w:ascii="Arial" w:hAnsi="Arial" w:cs="Arial"/>
          <w:sz w:val="20"/>
          <w:szCs w:val="20"/>
        </w:rPr>
      </w:pPr>
    </w:p>
    <w:p w:rsidR="003225B2" w:rsidRPr="006B3824" w:rsidRDefault="003225B2" w:rsidP="003225B2">
      <w:pPr>
        <w:tabs>
          <w:tab w:val="left" w:pos="360"/>
        </w:tabs>
        <w:rPr>
          <w:rFonts w:ascii="Arial" w:hAnsi="Arial" w:cs="Arial"/>
          <w:sz w:val="20"/>
          <w:szCs w:val="20"/>
        </w:rPr>
      </w:pPr>
      <w:r w:rsidRPr="006B3824">
        <w:rPr>
          <w:rFonts w:ascii="Arial" w:hAnsi="Arial" w:cs="Arial"/>
          <w:b/>
          <w:sz w:val="20"/>
          <w:szCs w:val="20"/>
        </w:rPr>
        <w:t>Conclusions</w:t>
      </w:r>
    </w:p>
    <w:p w:rsidR="003225B2" w:rsidRPr="0023305D" w:rsidRDefault="0023305D" w:rsidP="00E1592E">
      <w:pPr>
        <w:autoSpaceDE w:val="0"/>
        <w:autoSpaceDN w:val="0"/>
        <w:adjustRightInd w:val="0"/>
        <w:ind w:firstLine="360"/>
        <w:jc w:val="both"/>
        <w:rPr>
          <w:rFonts w:ascii="Arial" w:eastAsiaTheme="minorHAnsi" w:hAnsi="Arial" w:cs="Arial"/>
          <w:sz w:val="20"/>
          <w:szCs w:val="20"/>
          <w:lang w:eastAsia="en-US"/>
        </w:rPr>
      </w:pPr>
      <w:r w:rsidRPr="0023305D">
        <w:rPr>
          <w:rFonts w:ascii="Arial" w:eastAsiaTheme="minorHAnsi" w:hAnsi="Arial" w:cs="Arial"/>
          <w:sz w:val="20"/>
          <w:szCs w:val="20"/>
          <w:lang w:eastAsia="en-US"/>
        </w:rPr>
        <w:t>The current study provides the first in vivo support that direct pathological insult to forebrain torsinA in a symptomatic mouse model of DYT1 dystonia can engage genetically normal hindbrain regions into an aberrant connectivity network. These findings have important implications for the assignment of a causative region in CNS disease.</w:t>
      </w:r>
    </w:p>
    <w:p w:rsidR="006E5880" w:rsidRDefault="006E5880" w:rsidP="003225B2">
      <w:pPr>
        <w:tabs>
          <w:tab w:val="left" w:pos="360"/>
        </w:tabs>
        <w:rPr>
          <w:rFonts w:ascii="Arial" w:hAnsi="Arial" w:cs="Arial"/>
          <w:b/>
          <w:sz w:val="20"/>
          <w:szCs w:val="20"/>
        </w:rPr>
      </w:pPr>
    </w:p>
    <w:p w:rsidR="003225B2" w:rsidRDefault="003225B2" w:rsidP="003225B2">
      <w:pPr>
        <w:tabs>
          <w:tab w:val="left" w:pos="360"/>
        </w:tabs>
        <w:rPr>
          <w:rFonts w:ascii="Arial" w:hAnsi="Arial" w:cs="Arial"/>
          <w:b/>
          <w:sz w:val="20"/>
          <w:szCs w:val="20"/>
        </w:rPr>
      </w:pPr>
      <w:r w:rsidRPr="006B3824">
        <w:rPr>
          <w:rFonts w:ascii="Arial" w:hAnsi="Arial" w:cs="Arial"/>
          <w:b/>
          <w:sz w:val="20"/>
          <w:szCs w:val="20"/>
        </w:rPr>
        <w:t>Acknowledgements</w:t>
      </w:r>
    </w:p>
    <w:p w:rsidR="003225B2" w:rsidRPr="00491C5D" w:rsidRDefault="00E1592E" w:rsidP="003225B2">
      <w:pPr>
        <w:tabs>
          <w:tab w:val="left" w:pos="360"/>
        </w:tabs>
        <w:rPr>
          <w:rFonts w:ascii="Arial" w:eastAsia="Times New Roman" w:hAnsi="Arial" w:cs="Arial"/>
          <w:sz w:val="20"/>
          <w:szCs w:val="20"/>
          <w:lang w:eastAsia="en-US"/>
        </w:rPr>
      </w:pPr>
      <w:r>
        <w:rPr>
          <w:rFonts w:ascii="Arial" w:eastAsia="Times New Roman" w:hAnsi="Arial" w:cs="Arial"/>
          <w:sz w:val="20"/>
          <w:szCs w:val="20"/>
          <w:lang w:eastAsia="en-US"/>
        </w:rPr>
        <w:tab/>
      </w:r>
      <w:r w:rsidR="003225B2" w:rsidRPr="00334CEB">
        <w:rPr>
          <w:rFonts w:ascii="Arial" w:eastAsia="Times New Roman" w:hAnsi="Arial" w:cs="Arial"/>
          <w:sz w:val="20"/>
          <w:szCs w:val="20"/>
          <w:lang w:eastAsia="en-US"/>
        </w:rPr>
        <w:t>A portion of this work was performed at the National High Magnetic Field Laboratory, which is supported by National Science Foundation Coopera</w:t>
      </w:r>
      <w:r w:rsidR="003225B2">
        <w:rPr>
          <w:rFonts w:ascii="Arial" w:eastAsia="Times New Roman" w:hAnsi="Arial" w:cs="Arial"/>
          <w:sz w:val="20"/>
          <w:szCs w:val="20"/>
          <w:lang w:eastAsia="en-US"/>
        </w:rPr>
        <w:t xml:space="preserve">tive Agreement No. DMR-1157490 and </w:t>
      </w:r>
      <w:r w:rsidR="003225B2" w:rsidRPr="00334CEB">
        <w:rPr>
          <w:rFonts w:ascii="Arial" w:eastAsia="Times New Roman" w:hAnsi="Arial" w:cs="Arial"/>
          <w:sz w:val="20"/>
          <w:szCs w:val="20"/>
          <w:lang w:eastAsia="en-US"/>
        </w:rPr>
        <w:t>the Stat</w:t>
      </w:r>
      <w:r w:rsidR="003225B2">
        <w:rPr>
          <w:rFonts w:ascii="Arial" w:eastAsia="Times New Roman" w:hAnsi="Arial" w:cs="Arial"/>
          <w:sz w:val="20"/>
          <w:szCs w:val="20"/>
          <w:lang w:eastAsia="en-US"/>
        </w:rPr>
        <w:t>e of Florida. This study was funded by the National Institutes of Health (RO1 NS52318, ROI NS75012, T32 NS082169).</w:t>
      </w:r>
    </w:p>
    <w:p w:rsidR="003225B2" w:rsidRPr="006B3824" w:rsidRDefault="003225B2" w:rsidP="003225B2">
      <w:pPr>
        <w:tabs>
          <w:tab w:val="left" w:pos="360"/>
        </w:tabs>
        <w:rPr>
          <w:rFonts w:ascii="Arial" w:hAnsi="Arial" w:cs="Arial"/>
          <w:sz w:val="20"/>
          <w:szCs w:val="20"/>
        </w:rPr>
      </w:pPr>
    </w:p>
    <w:p w:rsidR="003225B2" w:rsidRDefault="003225B2" w:rsidP="003225B2">
      <w:pPr>
        <w:tabs>
          <w:tab w:val="left" w:pos="360"/>
        </w:tabs>
        <w:rPr>
          <w:rFonts w:ascii="Arial" w:hAnsi="Arial" w:cs="Arial"/>
          <w:b/>
          <w:sz w:val="20"/>
          <w:szCs w:val="20"/>
        </w:rPr>
      </w:pPr>
      <w:r w:rsidRPr="006B3824">
        <w:rPr>
          <w:rFonts w:ascii="Arial" w:hAnsi="Arial" w:cs="Arial"/>
          <w:b/>
          <w:sz w:val="20"/>
          <w:szCs w:val="20"/>
        </w:rPr>
        <w:t>References</w:t>
      </w:r>
    </w:p>
    <w:p w:rsidR="003225B2" w:rsidRDefault="003225B2" w:rsidP="003225B2">
      <w:pPr>
        <w:tabs>
          <w:tab w:val="left" w:pos="360"/>
        </w:tabs>
        <w:rPr>
          <w:rFonts w:ascii="Arial" w:hAnsi="Arial" w:cs="Arial"/>
          <w:sz w:val="20"/>
          <w:szCs w:val="20"/>
        </w:rPr>
      </w:pPr>
      <w:r>
        <w:rPr>
          <w:rFonts w:ascii="Arial" w:hAnsi="Arial" w:cs="Arial"/>
          <w:sz w:val="20"/>
          <w:szCs w:val="20"/>
        </w:rPr>
        <w:t>[1]</w:t>
      </w:r>
      <w:r>
        <w:rPr>
          <w:rFonts w:ascii="Arial" w:hAnsi="Arial" w:cs="Arial"/>
          <w:sz w:val="20"/>
          <w:szCs w:val="20"/>
        </w:rPr>
        <w:tab/>
      </w:r>
      <w:r w:rsidR="005A72DC">
        <w:rPr>
          <w:rFonts w:ascii="Arial" w:hAnsi="Arial" w:cs="Arial"/>
          <w:sz w:val="20"/>
          <w:szCs w:val="20"/>
        </w:rPr>
        <w:t>Pasternak</w:t>
      </w:r>
      <w:r>
        <w:rPr>
          <w:rFonts w:ascii="Arial" w:hAnsi="Arial" w:cs="Arial"/>
          <w:sz w:val="20"/>
          <w:szCs w:val="20"/>
        </w:rPr>
        <w:t xml:space="preserve">, </w:t>
      </w:r>
      <w:r w:rsidR="005A72DC">
        <w:rPr>
          <w:rFonts w:ascii="Arial" w:hAnsi="Arial" w:cs="Arial"/>
          <w:sz w:val="20"/>
          <w:szCs w:val="20"/>
        </w:rPr>
        <w:t>O</w:t>
      </w:r>
      <w:r>
        <w:rPr>
          <w:rFonts w:ascii="Arial" w:hAnsi="Arial" w:cs="Arial"/>
          <w:sz w:val="20"/>
          <w:szCs w:val="20"/>
        </w:rPr>
        <w:t xml:space="preserve">., </w:t>
      </w:r>
      <w:r w:rsidRPr="000D1E43">
        <w:rPr>
          <w:rFonts w:ascii="Arial" w:hAnsi="Arial" w:cs="Arial"/>
          <w:i/>
          <w:sz w:val="20"/>
          <w:szCs w:val="20"/>
        </w:rPr>
        <w:t>et al.</w:t>
      </w:r>
      <w:r>
        <w:rPr>
          <w:rFonts w:ascii="Arial" w:hAnsi="Arial" w:cs="Arial"/>
          <w:sz w:val="20"/>
          <w:szCs w:val="20"/>
        </w:rPr>
        <w:t xml:space="preserve">, </w:t>
      </w:r>
      <w:r w:rsidR="005A72DC">
        <w:rPr>
          <w:rFonts w:ascii="Arial" w:hAnsi="Arial" w:cs="Arial"/>
          <w:sz w:val="20"/>
          <w:szCs w:val="20"/>
        </w:rPr>
        <w:t>Magn Res Med</w:t>
      </w:r>
      <w:r>
        <w:rPr>
          <w:rFonts w:ascii="Arial" w:hAnsi="Arial" w:cs="Arial"/>
          <w:sz w:val="20"/>
          <w:szCs w:val="20"/>
        </w:rPr>
        <w:t xml:space="preserve">, </w:t>
      </w:r>
      <w:r w:rsidR="005A72DC">
        <w:rPr>
          <w:rFonts w:ascii="Arial" w:hAnsi="Arial" w:cs="Arial"/>
          <w:b/>
          <w:sz w:val="20"/>
          <w:szCs w:val="20"/>
        </w:rPr>
        <w:t>62</w:t>
      </w:r>
      <w:r>
        <w:rPr>
          <w:rFonts w:ascii="Arial" w:hAnsi="Arial" w:cs="Arial"/>
          <w:sz w:val="20"/>
          <w:szCs w:val="20"/>
        </w:rPr>
        <w:t xml:space="preserve">, </w:t>
      </w:r>
      <w:r w:rsidR="005A72DC">
        <w:rPr>
          <w:rFonts w:ascii="Arial" w:hAnsi="Arial" w:cs="Arial"/>
          <w:sz w:val="20"/>
          <w:szCs w:val="20"/>
        </w:rPr>
        <w:t>717-730</w:t>
      </w:r>
      <w:r>
        <w:rPr>
          <w:rFonts w:ascii="Arial" w:hAnsi="Arial" w:cs="Arial"/>
          <w:sz w:val="20"/>
          <w:szCs w:val="20"/>
        </w:rPr>
        <w:t xml:space="preserve"> (200</w:t>
      </w:r>
      <w:r w:rsidR="005A72DC">
        <w:rPr>
          <w:rFonts w:ascii="Arial" w:hAnsi="Arial" w:cs="Arial"/>
          <w:sz w:val="20"/>
          <w:szCs w:val="20"/>
        </w:rPr>
        <w:t>9</w:t>
      </w:r>
      <w:r>
        <w:rPr>
          <w:rFonts w:ascii="Arial" w:hAnsi="Arial" w:cs="Arial"/>
          <w:sz w:val="20"/>
          <w:szCs w:val="20"/>
        </w:rPr>
        <w:t>).</w:t>
      </w:r>
    </w:p>
    <w:p w:rsidR="006074D4" w:rsidRPr="005A72DC" w:rsidRDefault="003225B2" w:rsidP="005A72DC">
      <w:pPr>
        <w:tabs>
          <w:tab w:val="left" w:pos="360"/>
        </w:tabs>
        <w:rPr>
          <w:rFonts w:ascii="Arial" w:hAnsi="Arial" w:cs="Arial"/>
          <w:sz w:val="20"/>
          <w:szCs w:val="20"/>
        </w:rPr>
      </w:pPr>
      <w:r>
        <w:rPr>
          <w:rFonts w:ascii="Arial" w:hAnsi="Arial" w:cs="Arial"/>
          <w:sz w:val="20"/>
          <w:szCs w:val="20"/>
        </w:rPr>
        <w:t>[2]</w:t>
      </w:r>
      <w:r>
        <w:rPr>
          <w:rFonts w:ascii="Arial" w:hAnsi="Arial" w:cs="Arial"/>
          <w:sz w:val="20"/>
          <w:szCs w:val="20"/>
        </w:rPr>
        <w:tab/>
      </w:r>
      <w:r w:rsidR="0023305D">
        <w:rPr>
          <w:rFonts w:ascii="Arial" w:hAnsi="Arial" w:cs="Arial"/>
          <w:sz w:val="20"/>
          <w:szCs w:val="20"/>
        </w:rPr>
        <w:t>Biswal</w:t>
      </w:r>
      <w:r>
        <w:rPr>
          <w:rFonts w:ascii="Arial" w:hAnsi="Arial" w:cs="Arial"/>
          <w:sz w:val="20"/>
          <w:szCs w:val="20"/>
        </w:rPr>
        <w:t xml:space="preserve">, </w:t>
      </w:r>
      <w:r w:rsidR="0023305D">
        <w:rPr>
          <w:rFonts w:ascii="Arial" w:hAnsi="Arial" w:cs="Arial"/>
          <w:sz w:val="20"/>
          <w:szCs w:val="20"/>
        </w:rPr>
        <w:t>B</w:t>
      </w:r>
      <w:r>
        <w:rPr>
          <w:rFonts w:ascii="Arial" w:hAnsi="Arial" w:cs="Arial"/>
          <w:sz w:val="20"/>
          <w:szCs w:val="20"/>
        </w:rPr>
        <w:t>.,</w:t>
      </w:r>
      <w:r w:rsidR="0023305D">
        <w:rPr>
          <w:rFonts w:ascii="Arial" w:hAnsi="Arial" w:cs="Arial"/>
          <w:sz w:val="20"/>
          <w:szCs w:val="20"/>
        </w:rPr>
        <w:t xml:space="preserve"> </w:t>
      </w:r>
      <w:r w:rsidR="0023305D" w:rsidRPr="0023305D">
        <w:rPr>
          <w:rFonts w:ascii="Arial" w:hAnsi="Arial" w:cs="Arial"/>
          <w:i/>
          <w:sz w:val="20"/>
          <w:szCs w:val="20"/>
        </w:rPr>
        <w:t>et al</w:t>
      </w:r>
      <w:r w:rsidR="0023305D">
        <w:rPr>
          <w:rFonts w:ascii="Arial" w:hAnsi="Arial" w:cs="Arial"/>
          <w:sz w:val="20"/>
          <w:szCs w:val="20"/>
        </w:rPr>
        <w:t>.,</w:t>
      </w:r>
      <w:r>
        <w:rPr>
          <w:rFonts w:ascii="Arial" w:hAnsi="Arial" w:cs="Arial"/>
          <w:sz w:val="20"/>
          <w:szCs w:val="20"/>
        </w:rPr>
        <w:t xml:space="preserve"> </w:t>
      </w:r>
      <w:r w:rsidR="0023305D">
        <w:rPr>
          <w:rFonts w:ascii="Arial" w:hAnsi="Arial" w:cs="Arial"/>
          <w:sz w:val="20"/>
          <w:szCs w:val="20"/>
        </w:rPr>
        <w:t>Magn Res Med</w:t>
      </w:r>
      <w:r>
        <w:rPr>
          <w:rFonts w:ascii="Arial" w:hAnsi="Arial" w:cs="Arial"/>
          <w:sz w:val="20"/>
          <w:szCs w:val="20"/>
        </w:rPr>
        <w:t xml:space="preserve">, </w:t>
      </w:r>
      <w:r w:rsidR="0023305D">
        <w:rPr>
          <w:rFonts w:ascii="Arial" w:hAnsi="Arial" w:cs="Arial"/>
          <w:b/>
          <w:sz w:val="20"/>
          <w:szCs w:val="20"/>
        </w:rPr>
        <w:t>34</w:t>
      </w:r>
      <w:r>
        <w:rPr>
          <w:rFonts w:ascii="Arial" w:hAnsi="Arial" w:cs="Arial"/>
          <w:sz w:val="20"/>
          <w:szCs w:val="20"/>
        </w:rPr>
        <w:t xml:space="preserve">, </w:t>
      </w:r>
      <w:r w:rsidR="0023305D">
        <w:rPr>
          <w:rFonts w:ascii="Arial" w:hAnsi="Arial" w:cs="Arial"/>
          <w:sz w:val="20"/>
          <w:szCs w:val="20"/>
        </w:rPr>
        <w:t>537-541 (1995</w:t>
      </w:r>
      <w:r>
        <w:rPr>
          <w:rFonts w:ascii="Arial" w:hAnsi="Arial" w:cs="Arial"/>
          <w:sz w:val="20"/>
          <w:szCs w:val="20"/>
        </w:rPr>
        <w:t>).</w:t>
      </w:r>
    </w:p>
    <w:sectPr w:rsidR="006074D4" w:rsidRPr="005A72DC" w:rsidSect="00450C97">
      <w:headerReference w:type="default" r:id="rId8"/>
      <w:pgSz w:w="12240" w:h="15840" w:code="1"/>
      <w:pgMar w:top="1155" w:right="1080" w:bottom="1080" w:left="1080" w:header="18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E3D" w:rsidRDefault="00D32E3D" w:rsidP="003225B2">
      <w:r>
        <w:separator/>
      </w:r>
    </w:p>
  </w:endnote>
  <w:endnote w:type="continuationSeparator" w:id="0">
    <w:p w:rsidR="00D32E3D" w:rsidRDefault="00D32E3D" w:rsidP="00322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vTT5235d5a9">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E3D" w:rsidRDefault="00D32E3D" w:rsidP="003225B2">
      <w:r>
        <w:separator/>
      </w:r>
    </w:p>
  </w:footnote>
  <w:footnote w:type="continuationSeparator" w:id="0">
    <w:p w:rsidR="00D32E3D" w:rsidRDefault="00D32E3D" w:rsidP="003225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4C6" w:rsidRDefault="003225B2" w:rsidP="00F974C6">
    <w:pPr>
      <w:pStyle w:val="Header"/>
      <w:rPr>
        <w:rStyle w:val="BookTitle1"/>
        <w:rFonts w:ascii="Arial" w:hAnsi="Arial" w:cs="Arial"/>
        <w:color w:val="1F497D"/>
        <w:sz w:val="22"/>
        <w:szCs w:val="22"/>
      </w:rPr>
    </w:pP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1200150</wp:posOffset>
              </wp:positionH>
              <wp:positionV relativeFrom="paragraph">
                <wp:posOffset>66040</wp:posOffset>
              </wp:positionV>
              <wp:extent cx="3876675" cy="429260"/>
              <wp:effectExtent l="0" t="0" r="9525" b="889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429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21B2" w:rsidRPr="00091A2B" w:rsidRDefault="001321B2" w:rsidP="001321B2">
                          <w:pPr>
                            <w:jc w:val="center"/>
                            <w:rPr>
                              <w:rFonts w:ascii="Arial" w:hAnsi="Arial" w:cs="Arial"/>
                              <w:b/>
                              <w:color w:val="7030A0"/>
                              <w:sz w:val="22"/>
                              <w:szCs w:val="22"/>
                            </w:rPr>
                          </w:pPr>
                          <w:r w:rsidRPr="00091A2B">
                            <w:rPr>
                              <w:rFonts w:ascii="Arial" w:hAnsi="Arial" w:cs="Arial"/>
                              <w:b/>
                              <w:color w:val="7030A0"/>
                              <w:sz w:val="22"/>
                              <w:szCs w:val="22"/>
                            </w:rPr>
                            <w:t>NATIONAL HIGH MAGNETIC FIELD LABORATORY</w:t>
                          </w:r>
                        </w:p>
                        <w:p w:rsidR="001321B2" w:rsidRPr="00091A2B" w:rsidRDefault="001321B2" w:rsidP="001321B2">
                          <w:pPr>
                            <w:jc w:val="center"/>
                            <w:rPr>
                              <w:rFonts w:ascii="Arial" w:hAnsi="Arial" w:cs="Arial"/>
                              <w:b/>
                              <w:color w:val="7030A0"/>
                              <w:sz w:val="22"/>
                              <w:szCs w:val="22"/>
                            </w:rPr>
                          </w:pPr>
                          <w:r w:rsidRPr="00091A2B">
                            <w:rPr>
                              <w:rFonts w:ascii="Arial" w:hAnsi="Arial" w:cs="Arial"/>
                              <w:b/>
                              <w:color w:val="7030A0"/>
                              <w:sz w:val="22"/>
                              <w:szCs w:val="22"/>
                            </w:rPr>
                            <w:t>2017 ANNUAL RESEARCH REPORT</w:t>
                          </w:r>
                        </w:p>
                        <w:p w:rsidR="00F974C6" w:rsidRPr="00306550" w:rsidRDefault="00D32E3D" w:rsidP="001E6BF4">
                          <w:pPr>
                            <w:jc w:val="center"/>
                            <w:rPr>
                              <w:rFonts w:ascii="Arial" w:hAnsi="Arial" w:cs="Arial"/>
                              <w:b/>
                              <w:color w:val="17365D"/>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94.5pt;margin-top:5.2pt;width:305.25pt;height:3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" stroked="f">
              <v:textbox>
                <w:txbxContent>
                  <w:p w:rsidR="001321B2" w:rsidRPr="00091A2B" w:rsidRDefault="001321B2" w:rsidP="001321B2">
                    <w:pPr>
                      <w:jc w:val="center"/>
                      <w:rPr>
                        <w:rFonts w:ascii="Arial" w:hAnsi="Arial" w:cs="Arial"/>
                        <w:b/>
                        <w:color w:val="7030A0"/>
                        <w:sz w:val="22"/>
                        <w:szCs w:val="22"/>
                      </w:rPr>
                    </w:pPr>
                    <w:r w:rsidRPr="00091A2B">
                      <w:rPr>
                        <w:rFonts w:ascii="Arial" w:hAnsi="Arial" w:cs="Arial"/>
                        <w:b/>
                        <w:color w:val="7030A0"/>
                        <w:sz w:val="22"/>
                        <w:szCs w:val="22"/>
                      </w:rPr>
                      <w:t>NATIONAL HIGH MAGNETIC FIELD LABORATORY</w:t>
                    </w:r>
                  </w:p>
                  <w:p w:rsidR="001321B2" w:rsidRPr="00091A2B" w:rsidRDefault="001321B2" w:rsidP="001321B2">
                    <w:pPr>
                      <w:jc w:val="center"/>
                      <w:rPr>
                        <w:rFonts w:ascii="Arial" w:hAnsi="Arial" w:cs="Arial"/>
                        <w:b/>
                        <w:color w:val="7030A0"/>
                        <w:sz w:val="22"/>
                        <w:szCs w:val="22"/>
                      </w:rPr>
                    </w:pPr>
                    <w:r w:rsidRPr="00091A2B">
                      <w:rPr>
                        <w:rFonts w:ascii="Arial" w:hAnsi="Arial" w:cs="Arial"/>
                        <w:b/>
                        <w:color w:val="7030A0"/>
                        <w:sz w:val="22"/>
                        <w:szCs w:val="22"/>
                      </w:rPr>
                      <w:t>2017 ANNUAL RESEARCH REPORT</w:t>
                    </w:r>
                  </w:p>
                  <w:p w:rsidR="00F974C6" w:rsidRPr="00306550" w:rsidRDefault="00AB1C18" w:rsidP="001E6BF4">
                    <w:pPr>
                      <w:jc w:val="center"/>
                      <w:rPr>
                        <w:rFonts w:ascii="Arial" w:hAnsi="Arial" w:cs="Arial"/>
                        <w:b/>
                        <w:color w:val="17365D"/>
                        <w:sz w:val="22"/>
                        <w:szCs w:val="22"/>
                      </w:rPr>
                    </w:pPr>
                  </w:p>
                </w:txbxContent>
              </v:textbox>
            </v:shape>
          </w:pict>
        </mc:Fallback>
      </mc:AlternateContent>
    </w:r>
    <w:r w:rsidRPr="00E60509">
      <w:rPr>
        <w:rFonts w:ascii="Arial" w:hAnsi="Arial" w:cs="Arial"/>
        <w:b/>
        <w:smallCaps/>
        <w:noProof/>
        <w:color w:val="1F497D"/>
        <w:spacing w:val="5"/>
        <w:sz w:val="22"/>
        <w:szCs w:val="22"/>
        <w:lang w:eastAsia="en-US"/>
      </w:rPr>
      <w:drawing>
        <wp:inline distT="0" distB="0" distL="0" distR="0">
          <wp:extent cx="516255" cy="626745"/>
          <wp:effectExtent l="0" t="0" r="0" b="1905"/>
          <wp:docPr id="2" name="Picture 2" descr="JustM_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JustM_purp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62674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5B2"/>
    <w:rsid w:val="00014DE2"/>
    <w:rsid w:val="000F3A5C"/>
    <w:rsid w:val="0010733C"/>
    <w:rsid w:val="00120911"/>
    <w:rsid w:val="001321B2"/>
    <w:rsid w:val="0018458B"/>
    <w:rsid w:val="0023305D"/>
    <w:rsid w:val="00250930"/>
    <w:rsid w:val="00284F17"/>
    <w:rsid w:val="00305B17"/>
    <w:rsid w:val="003225B2"/>
    <w:rsid w:val="00506EC8"/>
    <w:rsid w:val="005A72DC"/>
    <w:rsid w:val="00602A2E"/>
    <w:rsid w:val="006E5880"/>
    <w:rsid w:val="007A18EA"/>
    <w:rsid w:val="007B6F01"/>
    <w:rsid w:val="00AB1C18"/>
    <w:rsid w:val="00D32E3D"/>
    <w:rsid w:val="00E1592E"/>
    <w:rsid w:val="00E94B06"/>
    <w:rsid w:val="00F33044"/>
    <w:rsid w:val="00F904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5B2"/>
    <w:pPr>
      <w:spacing w:after="0" w:line="240" w:lineRule="auto"/>
    </w:pPr>
    <w:rPr>
      <w:rFonts w:ascii="Times New Roman" w:eastAsia="MS Mincho" w:hAnsi="Times New Roman"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225B2"/>
    <w:pPr>
      <w:tabs>
        <w:tab w:val="center" w:pos="4320"/>
        <w:tab w:val="right" w:pos="8640"/>
      </w:tabs>
    </w:pPr>
  </w:style>
  <w:style w:type="character" w:customStyle="1" w:styleId="HeaderChar">
    <w:name w:val="Header Char"/>
    <w:basedOn w:val="DefaultParagraphFont"/>
    <w:link w:val="Header"/>
    <w:rsid w:val="003225B2"/>
    <w:rPr>
      <w:rFonts w:ascii="Times New Roman" w:eastAsia="MS Mincho" w:hAnsi="Times New Roman" w:cs="Times New Roman"/>
      <w:sz w:val="24"/>
      <w:szCs w:val="24"/>
      <w:lang w:eastAsia="ja-JP"/>
    </w:rPr>
  </w:style>
  <w:style w:type="character" w:customStyle="1" w:styleId="BookTitle1">
    <w:name w:val="Book Title1"/>
    <w:uiPriority w:val="33"/>
    <w:qFormat/>
    <w:rsid w:val="003225B2"/>
    <w:rPr>
      <w:b/>
      <w:bCs/>
      <w:smallCaps/>
      <w:spacing w:val="5"/>
    </w:rPr>
  </w:style>
  <w:style w:type="paragraph" w:styleId="Footer">
    <w:name w:val="footer"/>
    <w:basedOn w:val="Normal"/>
    <w:link w:val="FooterChar"/>
    <w:uiPriority w:val="99"/>
    <w:unhideWhenUsed/>
    <w:rsid w:val="003225B2"/>
    <w:pPr>
      <w:tabs>
        <w:tab w:val="center" w:pos="4680"/>
        <w:tab w:val="right" w:pos="9360"/>
      </w:tabs>
    </w:pPr>
  </w:style>
  <w:style w:type="character" w:customStyle="1" w:styleId="FooterChar">
    <w:name w:val="Footer Char"/>
    <w:basedOn w:val="DefaultParagraphFont"/>
    <w:link w:val="Footer"/>
    <w:uiPriority w:val="99"/>
    <w:rsid w:val="003225B2"/>
    <w:rPr>
      <w:rFonts w:ascii="Times New Roman" w:eastAsia="MS Mincho" w:hAnsi="Times New Roman" w:cs="Times New Roman"/>
      <w:sz w:val="24"/>
      <w:szCs w:val="24"/>
      <w:lang w:eastAsia="ja-JP"/>
    </w:rPr>
  </w:style>
  <w:style w:type="paragraph" w:styleId="BalloonText">
    <w:name w:val="Balloon Text"/>
    <w:basedOn w:val="Normal"/>
    <w:link w:val="BalloonTextChar"/>
    <w:uiPriority w:val="99"/>
    <w:semiHidden/>
    <w:unhideWhenUsed/>
    <w:rsid w:val="00E1592E"/>
    <w:rPr>
      <w:rFonts w:ascii="Tahoma" w:hAnsi="Tahoma" w:cs="Tahoma"/>
      <w:sz w:val="16"/>
      <w:szCs w:val="16"/>
    </w:rPr>
  </w:style>
  <w:style w:type="character" w:customStyle="1" w:styleId="BalloonTextChar">
    <w:name w:val="Balloon Text Char"/>
    <w:basedOn w:val="DefaultParagraphFont"/>
    <w:link w:val="BalloonText"/>
    <w:uiPriority w:val="99"/>
    <w:semiHidden/>
    <w:rsid w:val="00E1592E"/>
    <w:rPr>
      <w:rFonts w:ascii="Tahoma" w:eastAsia="MS Mincho" w:hAnsi="Tahoma" w:cs="Tahoma"/>
      <w:sz w:val="16"/>
      <w:szCs w:val="16"/>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5B2"/>
    <w:pPr>
      <w:spacing w:after="0" w:line="240" w:lineRule="auto"/>
    </w:pPr>
    <w:rPr>
      <w:rFonts w:ascii="Times New Roman" w:eastAsia="MS Mincho" w:hAnsi="Times New Roman"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225B2"/>
    <w:pPr>
      <w:tabs>
        <w:tab w:val="center" w:pos="4320"/>
        <w:tab w:val="right" w:pos="8640"/>
      </w:tabs>
    </w:pPr>
  </w:style>
  <w:style w:type="character" w:customStyle="1" w:styleId="HeaderChar">
    <w:name w:val="Header Char"/>
    <w:basedOn w:val="DefaultParagraphFont"/>
    <w:link w:val="Header"/>
    <w:rsid w:val="003225B2"/>
    <w:rPr>
      <w:rFonts w:ascii="Times New Roman" w:eastAsia="MS Mincho" w:hAnsi="Times New Roman" w:cs="Times New Roman"/>
      <w:sz w:val="24"/>
      <w:szCs w:val="24"/>
      <w:lang w:eastAsia="ja-JP"/>
    </w:rPr>
  </w:style>
  <w:style w:type="character" w:customStyle="1" w:styleId="BookTitle1">
    <w:name w:val="Book Title1"/>
    <w:uiPriority w:val="33"/>
    <w:qFormat/>
    <w:rsid w:val="003225B2"/>
    <w:rPr>
      <w:b/>
      <w:bCs/>
      <w:smallCaps/>
      <w:spacing w:val="5"/>
    </w:rPr>
  </w:style>
  <w:style w:type="paragraph" w:styleId="Footer">
    <w:name w:val="footer"/>
    <w:basedOn w:val="Normal"/>
    <w:link w:val="FooterChar"/>
    <w:uiPriority w:val="99"/>
    <w:unhideWhenUsed/>
    <w:rsid w:val="003225B2"/>
    <w:pPr>
      <w:tabs>
        <w:tab w:val="center" w:pos="4680"/>
        <w:tab w:val="right" w:pos="9360"/>
      </w:tabs>
    </w:pPr>
  </w:style>
  <w:style w:type="character" w:customStyle="1" w:styleId="FooterChar">
    <w:name w:val="Footer Char"/>
    <w:basedOn w:val="DefaultParagraphFont"/>
    <w:link w:val="Footer"/>
    <w:uiPriority w:val="99"/>
    <w:rsid w:val="003225B2"/>
    <w:rPr>
      <w:rFonts w:ascii="Times New Roman" w:eastAsia="MS Mincho" w:hAnsi="Times New Roman" w:cs="Times New Roman"/>
      <w:sz w:val="24"/>
      <w:szCs w:val="24"/>
      <w:lang w:eastAsia="ja-JP"/>
    </w:rPr>
  </w:style>
  <w:style w:type="paragraph" w:styleId="BalloonText">
    <w:name w:val="Balloon Text"/>
    <w:basedOn w:val="Normal"/>
    <w:link w:val="BalloonTextChar"/>
    <w:uiPriority w:val="99"/>
    <w:semiHidden/>
    <w:unhideWhenUsed/>
    <w:rsid w:val="00E1592E"/>
    <w:rPr>
      <w:rFonts w:ascii="Tahoma" w:hAnsi="Tahoma" w:cs="Tahoma"/>
      <w:sz w:val="16"/>
      <w:szCs w:val="16"/>
    </w:rPr>
  </w:style>
  <w:style w:type="character" w:customStyle="1" w:styleId="BalloonTextChar">
    <w:name w:val="Balloon Text Char"/>
    <w:basedOn w:val="DefaultParagraphFont"/>
    <w:link w:val="BalloonText"/>
    <w:uiPriority w:val="99"/>
    <w:semiHidden/>
    <w:rsid w:val="00E1592E"/>
    <w:rPr>
      <w:rFonts w:ascii="Tahoma" w:eastAsia="MS Mincho"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502</Words>
  <Characters>2865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DeSimone,Jesse</dc:creator>
  <cp:keywords/>
  <dc:description/>
  <cp:lastModifiedBy>Anke Toth</cp:lastModifiedBy>
  <cp:revision>11</cp:revision>
  <dcterms:created xsi:type="dcterms:W3CDTF">2017-12-15T14:04:00Z</dcterms:created>
  <dcterms:modified xsi:type="dcterms:W3CDTF">2018-04-10T18:12:00Z</dcterms:modified>
</cp:coreProperties>
</file>