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56B7" w14:textId="48150341" w:rsidR="008373C4" w:rsidRPr="007618DA" w:rsidRDefault="008373C4" w:rsidP="008373C4">
      <w:pPr>
        <w:ind w:firstLine="720"/>
        <w:rPr>
          <w:rFonts w:ascii="Arial" w:hAnsi="Arial"/>
          <w:b/>
        </w:rPr>
      </w:pPr>
      <w:r w:rsidRPr="007618DA">
        <w:rPr>
          <w:rFonts w:ascii="Arial" w:hAnsi="Arial"/>
          <w:b/>
        </w:rPr>
        <w:t>Ultrahigh-</w:t>
      </w:r>
      <w:r w:rsidR="00847A94">
        <w:rPr>
          <w:rFonts w:ascii="Arial" w:hAnsi="Arial"/>
          <w:b/>
        </w:rPr>
        <w:t>Field Iron MRI Microscopy of Macrophage Infiltration in Breast C</w:t>
      </w:r>
      <w:r w:rsidRPr="007618DA">
        <w:rPr>
          <w:rFonts w:ascii="Arial" w:hAnsi="Arial"/>
          <w:b/>
        </w:rPr>
        <w:t xml:space="preserve">ancer </w:t>
      </w:r>
    </w:p>
    <w:p w14:paraId="1011720A" w14:textId="77777777" w:rsidR="003E2F8E" w:rsidRPr="007618DA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850AF05" w14:textId="42821858" w:rsidR="00A94FC4" w:rsidRPr="007618DA" w:rsidRDefault="008373C4" w:rsidP="008373C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7618DA">
        <w:rPr>
          <w:rFonts w:ascii="Arial" w:hAnsi="Arial" w:cs="Arial"/>
          <w:sz w:val="20"/>
          <w:szCs w:val="20"/>
          <w:u w:val="single"/>
        </w:rPr>
        <w:t>Leftin</w:t>
      </w:r>
      <w:proofErr w:type="spellEnd"/>
      <w:r w:rsidRPr="007618DA">
        <w:rPr>
          <w:rFonts w:ascii="Arial" w:hAnsi="Arial" w:cs="Arial"/>
          <w:sz w:val="20"/>
          <w:szCs w:val="20"/>
          <w:u w:val="single"/>
        </w:rPr>
        <w:t>, A</w:t>
      </w:r>
      <w:r w:rsidR="007F297F">
        <w:rPr>
          <w:rFonts w:ascii="Arial" w:hAnsi="Arial" w:cs="Arial"/>
          <w:sz w:val="20"/>
          <w:szCs w:val="20"/>
          <w:u w:val="single"/>
        </w:rPr>
        <w:t>.</w:t>
      </w:r>
      <w:r w:rsidRPr="007F297F">
        <w:rPr>
          <w:rFonts w:ascii="Arial" w:hAnsi="Arial" w:cs="Arial"/>
          <w:sz w:val="20"/>
          <w:szCs w:val="20"/>
        </w:rPr>
        <w:t xml:space="preserve"> (M</w:t>
      </w:r>
      <w:r w:rsidR="007F297F">
        <w:rPr>
          <w:rFonts w:ascii="Arial" w:hAnsi="Arial" w:cs="Arial"/>
          <w:sz w:val="20"/>
          <w:szCs w:val="20"/>
        </w:rPr>
        <w:t xml:space="preserve">emorial </w:t>
      </w:r>
      <w:r w:rsidRPr="007F297F">
        <w:rPr>
          <w:rFonts w:ascii="Arial" w:hAnsi="Arial" w:cs="Arial"/>
          <w:sz w:val="20"/>
          <w:szCs w:val="20"/>
        </w:rPr>
        <w:t>S</w:t>
      </w:r>
      <w:r w:rsidR="007F297F">
        <w:rPr>
          <w:rFonts w:ascii="Arial" w:hAnsi="Arial" w:cs="Arial"/>
          <w:sz w:val="20"/>
          <w:szCs w:val="20"/>
        </w:rPr>
        <w:t xml:space="preserve">loan </w:t>
      </w:r>
      <w:r w:rsidRPr="007F297F">
        <w:rPr>
          <w:rFonts w:ascii="Arial" w:hAnsi="Arial" w:cs="Arial"/>
          <w:sz w:val="20"/>
          <w:szCs w:val="20"/>
        </w:rPr>
        <w:t>K</w:t>
      </w:r>
      <w:r w:rsidR="007F297F">
        <w:rPr>
          <w:rFonts w:ascii="Arial" w:hAnsi="Arial" w:cs="Arial"/>
          <w:sz w:val="20"/>
          <w:szCs w:val="20"/>
        </w:rPr>
        <w:t xml:space="preserve">ettering </w:t>
      </w:r>
      <w:r w:rsidRPr="007F297F">
        <w:rPr>
          <w:rFonts w:ascii="Arial" w:hAnsi="Arial" w:cs="Arial"/>
          <w:sz w:val="20"/>
          <w:szCs w:val="20"/>
        </w:rPr>
        <w:t>C</w:t>
      </w:r>
      <w:r w:rsidR="007F297F">
        <w:rPr>
          <w:rFonts w:ascii="Arial" w:hAnsi="Arial" w:cs="Arial"/>
          <w:sz w:val="20"/>
          <w:szCs w:val="20"/>
        </w:rPr>
        <w:t xml:space="preserve">ancer </w:t>
      </w:r>
      <w:r w:rsidRPr="007F297F">
        <w:rPr>
          <w:rFonts w:ascii="Arial" w:hAnsi="Arial" w:cs="Arial"/>
          <w:sz w:val="20"/>
          <w:szCs w:val="20"/>
        </w:rPr>
        <w:t>C</w:t>
      </w:r>
      <w:r w:rsidR="007F297F">
        <w:rPr>
          <w:rFonts w:ascii="Arial" w:hAnsi="Arial" w:cs="Arial"/>
          <w:sz w:val="20"/>
          <w:szCs w:val="20"/>
        </w:rPr>
        <w:t>enter, Sloan Kettering Institute</w:t>
      </w:r>
      <w:r w:rsidRPr="007F297F">
        <w:rPr>
          <w:rFonts w:ascii="Arial" w:hAnsi="Arial" w:cs="Arial"/>
          <w:sz w:val="20"/>
          <w:szCs w:val="20"/>
        </w:rPr>
        <w:t>)</w:t>
      </w:r>
      <w:r w:rsidR="007F297F">
        <w:rPr>
          <w:rFonts w:ascii="Arial" w:hAnsi="Arial" w:cs="Arial"/>
          <w:sz w:val="20"/>
          <w:szCs w:val="20"/>
        </w:rPr>
        <w:t xml:space="preserve"> and Rosenberg, J.</w:t>
      </w:r>
      <w:r w:rsidRPr="007618DA">
        <w:rPr>
          <w:rFonts w:ascii="Arial" w:hAnsi="Arial" w:cs="Arial"/>
          <w:sz w:val="20"/>
          <w:szCs w:val="20"/>
        </w:rPr>
        <w:t xml:space="preserve">T. </w:t>
      </w:r>
      <w:r w:rsidR="00A94FC4" w:rsidRPr="007618DA">
        <w:rPr>
          <w:rFonts w:ascii="Arial" w:hAnsi="Arial" w:cs="Arial"/>
          <w:sz w:val="20"/>
          <w:szCs w:val="20"/>
        </w:rPr>
        <w:t>(</w:t>
      </w:r>
      <w:r w:rsidRPr="007618DA">
        <w:rPr>
          <w:rFonts w:ascii="Arial" w:hAnsi="Arial" w:cs="Arial"/>
          <w:sz w:val="20"/>
          <w:szCs w:val="20"/>
        </w:rPr>
        <w:t>NHMFL</w:t>
      </w:r>
      <w:r w:rsidR="00A94FC4" w:rsidRPr="007618DA">
        <w:rPr>
          <w:rFonts w:ascii="Arial" w:hAnsi="Arial" w:cs="Arial"/>
          <w:sz w:val="20"/>
          <w:szCs w:val="20"/>
        </w:rPr>
        <w:t>)</w:t>
      </w:r>
      <w:r w:rsidR="00EB515D" w:rsidRPr="007618DA">
        <w:rPr>
          <w:rFonts w:ascii="Arial" w:hAnsi="Arial" w:cs="Arial"/>
          <w:sz w:val="20"/>
          <w:szCs w:val="20"/>
        </w:rPr>
        <w:t xml:space="preserve"> </w:t>
      </w:r>
    </w:p>
    <w:p w14:paraId="1A570DF0" w14:textId="77777777" w:rsidR="00A94FC4" w:rsidRPr="007618DA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BE6FBB" w14:textId="77777777" w:rsidR="00A94FC4" w:rsidRPr="007618DA" w:rsidRDefault="00A94FC4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D10D9B" w14:textId="77777777" w:rsidR="00A94FC4" w:rsidRPr="007618DA" w:rsidRDefault="00A94FC4" w:rsidP="007F297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Introduction</w:t>
      </w:r>
      <w:r w:rsidR="002426D5" w:rsidRPr="007618DA">
        <w:rPr>
          <w:rFonts w:ascii="Arial" w:hAnsi="Arial" w:cs="Arial"/>
          <w:b/>
          <w:sz w:val="20"/>
          <w:szCs w:val="20"/>
        </w:rPr>
        <w:t xml:space="preserve"> </w:t>
      </w:r>
    </w:p>
    <w:p w14:paraId="5B03E7BF" w14:textId="0ED49CDA" w:rsidR="008373C4" w:rsidRPr="007618DA" w:rsidRDefault="007F297F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373C4" w:rsidRPr="007618DA">
        <w:rPr>
          <w:rFonts w:ascii="Arial" w:hAnsi="Arial"/>
          <w:sz w:val="20"/>
          <w:szCs w:val="20"/>
        </w:rPr>
        <w:t>Macrophage infiltration in breast tumors and metastasis is associated with poor clinical outcome. Macrophages in normal and pathological settings play critical roles in the systemic homeostasis of iron.  A characteristic phenotype of macr</w:t>
      </w:r>
      <w:r w:rsidR="007618DA" w:rsidRPr="007618DA">
        <w:rPr>
          <w:rFonts w:ascii="Arial" w:hAnsi="Arial"/>
          <w:sz w:val="20"/>
          <w:szCs w:val="20"/>
        </w:rPr>
        <w:t>ophages engaged in iron-handling</w:t>
      </w:r>
      <w:r w:rsidR="008373C4" w:rsidRPr="007618DA">
        <w:rPr>
          <w:rFonts w:ascii="Arial" w:hAnsi="Arial"/>
          <w:sz w:val="20"/>
          <w:szCs w:val="20"/>
        </w:rPr>
        <w:t xml:space="preserve"> roles is the accumulation of solid iron stores known as hemosiderin.  These hemosiderin-laden macrophages (HLMs) also confer high MRI contrast similar to super-paramagnetic iron-oxide (SPIO) nanoparticle contrast agents</w:t>
      </w:r>
      <w:r>
        <w:rPr>
          <w:rFonts w:ascii="Arial" w:hAnsi="Arial"/>
          <w:sz w:val="20"/>
          <w:szCs w:val="20"/>
        </w:rPr>
        <w:t>,</w:t>
      </w:r>
      <w:r w:rsidR="008373C4" w:rsidRPr="007618DA">
        <w:rPr>
          <w:rFonts w:ascii="Arial" w:hAnsi="Arial"/>
          <w:sz w:val="20"/>
          <w:szCs w:val="20"/>
        </w:rPr>
        <w:t xml:space="preserve"> which have been used to label and image macrophages in cancer, and thus present themselves as endogenous ima</w:t>
      </w:r>
      <w:bookmarkStart w:id="0" w:name="_GoBack"/>
      <w:bookmarkEnd w:id="0"/>
      <w:r w:rsidR="008373C4" w:rsidRPr="007618DA">
        <w:rPr>
          <w:rFonts w:ascii="Arial" w:hAnsi="Arial"/>
          <w:sz w:val="20"/>
          <w:szCs w:val="20"/>
        </w:rPr>
        <w:t xml:space="preserve">ging targets reporting at the axis of systemic iron metabolism and the immune-microenvironment.  The overall objective of this proposal was to use the </w:t>
      </w:r>
      <w:r w:rsidR="007618DA" w:rsidRPr="007618DA">
        <w:rPr>
          <w:rFonts w:ascii="Arial" w:hAnsi="Arial"/>
          <w:sz w:val="20"/>
          <w:szCs w:val="20"/>
        </w:rPr>
        <w:t>demonstrated advantage of ultra</w:t>
      </w:r>
      <w:r w:rsidR="008373C4" w:rsidRPr="007618DA">
        <w:rPr>
          <w:rFonts w:ascii="Arial" w:hAnsi="Arial"/>
          <w:sz w:val="20"/>
          <w:szCs w:val="20"/>
        </w:rPr>
        <w:t>high</w:t>
      </w:r>
      <w:r w:rsidR="007618DA" w:rsidRPr="007618DA">
        <w:rPr>
          <w:rFonts w:ascii="Arial" w:hAnsi="Arial"/>
          <w:sz w:val="20"/>
          <w:szCs w:val="20"/>
        </w:rPr>
        <w:t xml:space="preserve"> </w:t>
      </w:r>
      <w:r w:rsidR="008373C4" w:rsidRPr="007618DA">
        <w:rPr>
          <w:rFonts w:ascii="Arial" w:hAnsi="Arial"/>
          <w:sz w:val="20"/>
          <w:szCs w:val="20"/>
        </w:rPr>
        <w:t>field MRI to enhance the sensitivity of T</w:t>
      </w:r>
      <w:r w:rsidR="008373C4" w:rsidRPr="007618DA">
        <w:rPr>
          <w:rFonts w:ascii="Arial" w:hAnsi="Arial"/>
          <w:sz w:val="20"/>
          <w:szCs w:val="20"/>
          <w:vertAlign w:val="subscript"/>
        </w:rPr>
        <w:t>2</w:t>
      </w:r>
      <w:r w:rsidR="008373C4" w:rsidRPr="007618DA">
        <w:rPr>
          <w:rFonts w:ascii="Arial" w:hAnsi="Arial"/>
          <w:sz w:val="20"/>
          <w:szCs w:val="20"/>
        </w:rPr>
        <w:t xml:space="preserve">* </w:t>
      </w:r>
      <w:proofErr w:type="spellStart"/>
      <w:r w:rsidR="008373C4" w:rsidRPr="007618DA">
        <w:rPr>
          <w:rFonts w:ascii="Arial" w:hAnsi="Arial"/>
          <w:sz w:val="20"/>
          <w:szCs w:val="20"/>
        </w:rPr>
        <w:t>relaxometry</w:t>
      </w:r>
      <w:proofErr w:type="spellEnd"/>
      <w:r w:rsidR="008373C4" w:rsidRPr="007618DA">
        <w:rPr>
          <w:rFonts w:ascii="Arial" w:hAnsi="Arial"/>
          <w:sz w:val="20"/>
          <w:szCs w:val="20"/>
        </w:rPr>
        <w:t xml:space="preserve"> for these cellular iron sources in order to generate high-resolution MRI microscopy maps of iron-laden macrophage deposits in murine breast tumors.  </w:t>
      </w:r>
    </w:p>
    <w:p w14:paraId="3FDE6E91" w14:textId="77777777" w:rsidR="00B75DC9" w:rsidRPr="007618DA" w:rsidRDefault="00B75DC9" w:rsidP="007F297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34484E5" w14:textId="77777777" w:rsidR="002524EE" w:rsidRPr="007618DA" w:rsidRDefault="002524EE" w:rsidP="007F297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Experimental</w:t>
      </w:r>
      <w:r w:rsidR="00734E94" w:rsidRPr="007618DA">
        <w:rPr>
          <w:rFonts w:ascii="Arial" w:hAnsi="Arial" w:cs="Arial"/>
          <w:b/>
          <w:sz w:val="20"/>
          <w:szCs w:val="20"/>
        </w:rPr>
        <w:t xml:space="preserve"> </w:t>
      </w:r>
    </w:p>
    <w:p w14:paraId="06AB2554" w14:textId="7CC59484" w:rsidR="008373C4" w:rsidRPr="007618DA" w:rsidRDefault="007F297F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373C4" w:rsidRPr="007618DA">
        <w:rPr>
          <w:rFonts w:ascii="Arial" w:hAnsi="Arial"/>
          <w:sz w:val="20"/>
          <w:szCs w:val="20"/>
        </w:rPr>
        <w:t xml:space="preserve">Murine breast tumor samples were preserved and immobilized with stereotactic </w:t>
      </w:r>
      <w:r w:rsidR="00A4090A">
        <w:rPr>
          <w:rFonts w:ascii="Arial" w:hAnsi="Arial"/>
          <w:sz w:val="20"/>
          <w:szCs w:val="20"/>
        </w:rPr>
        <w:t>fiducial</w:t>
      </w:r>
      <w:r w:rsidR="008373C4" w:rsidRPr="007618DA">
        <w:rPr>
          <w:rFonts w:ascii="Arial" w:hAnsi="Arial"/>
          <w:sz w:val="20"/>
          <w:szCs w:val="20"/>
        </w:rPr>
        <w:t xml:space="preserve"> markers.  2D multi slice T</w:t>
      </w:r>
      <w:r w:rsidR="008373C4" w:rsidRPr="007618DA">
        <w:rPr>
          <w:rFonts w:ascii="Arial" w:hAnsi="Arial"/>
          <w:sz w:val="20"/>
          <w:szCs w:val="20"/>
          <w:vertAlign w:val="subscript"/>
        </w:rPr>
        <w:t>2</w:t>
      </w:r>
      <w:r w:rsidR="008373C4" w:rsidRPr="007618DA">
        <w:rPr>
          <w:rFonts w:ascii="Arial" w:hAnsi="Arial"/>
          <w:sz w:val="20"/>
          <w:szCs w:val="20"/>
        </w:rPr>
        <w:t xml:space="preserve">* </w:t>
      </w:r>
      <w:proofErr w:type="spellStart"/>
      <w:r w:rsidR="008373C4" w:rsidRPr="007618DA">
        <w:rPr>
          <w:rFonts w:ascii="Arial" w:hAnsi="Arial"/>
          <w:sz w:val="20"/>
          <w:szCs w:val="20"/>
        </w:rPr>
        <w:t>relaxometry</w:t>
      </w:r>
      <w:proofErr w:type="spellEnd"/>
      <w:r w:rsidR="008373C4" w:rsidRPr="007618DA">
        <w:rPr>
          <w:rFonts w:ascii="Arial" w:hAnsi="Arial"/>
          <w:sz w:val="20"/>
          <w:szCs w:val="20"/>
        </w:rPr>
        <w:t xml:space="preserve"> was used to map iron concentrations at 7</w:t>
      </w:r>
      <w:r w:rsidR="00F06229">
        <w:rPr>
          <w:rFonts w:ascii="Arial" w:hAnsi="Arial"/>
          <w:sz w:val="20"/>
          <w:szCs w:val="20"/>
        </w:rPr>
        <w:t xml:space="preserve"> </w:t>
      </w:r>
      <w:r w:rsidR="008373C4" w:rsidRPr="007618DA">
        <w:rPr>
          <w:rFonts w:ascii="Arial" w:hAnsi="Arial"/>
          <w:sz w:val="20"/>
          <w:szCs w:val="20"/>
        </w:rPr>
        <w:t>T at</w:t>
      </w:r>
      <w:r w:rsidR="00F06229">
        <w:rPr>
          <w:rFonts w:ascii="Arial" w:hAnsi="Arial"/>
          <w:sz w:val="20"/>
          <w:szCs w:val="20"/>
        </w:rPr>
        <w:t xml:space="preserve"> </w:t>
      </w:r>
      <w:r w:rsidR="00F06229" w:rsidRPr="00F06229">
        <w:rPr>
          <w:rFonts w:ascii="Arial" w:hAnsi="Arial"/>
          <w:sz w:val="20"/>
          <w:szCs w:val="20"/>
        </w:rPr>
        <w:t xml:space="preserve">Memorial Sloan Kettering Cancer </w:t>
      </w:r>
      <w:proofErr w:type="gramStart"/>
      <w:r w:rsidR="00F06229" w:rsidRPr="00F06229">
        <w:rPr>
          <w:rFonts w:ascii="Arial" w:hAnsi="Arial"/>
          <w:sz w:val="20"/>
          <w:szCs w:val="20"/>
        </w:rPr>
        <w:t>Center</w:t>
      </w:r>
      <w:r w:rsidR="00F06229">
        <w:rPr>
          <w:rFonts w:ascii="Arial" w:hAnsi="Arial"/>
          <w:sz w:val="20"/>
          <w:szCs w:val="20"/>
        </w:rPr>
        <w:t xml:space="preserve"> </w:t>
      </w:r>
      <w:r w:rsidR="008373C4" w:rsidRPr="007618DA">
        <w:rPr>
          <w:rFonts w:ascii="Arial" w:hAnsi="Arial"/>
          <w:sz w:val="20"/>
          <w:szCs w:val="20"/>
        </w:rPr>
        <w:t xml:space="preserve"> </w:t>
      </w:r>
      <w:r w:rsidR="00F06229">
        <w:rPr>
          <w:rFonts w:ascii="Arial" w:hAnsi="Arial"/>
          <w:sz w:val="20"/>
          <w:szCs w:val="20"/>
        </w:rPr>
        <w:t>(</w:t>
      </w:r>
      <w:proofErr w:type="gramEnd"/>
      <w:r w:rsidR="008373C4" w:rsidRPr="007618DA">
        <w:rPr>
          <w:rFonts w:ascii="Arial" w:hAnsi="Arial"/>
          <w:sz w:val="20"/>
          <w:szCs w:val="20"/>
        </w:rPr>
        <w:t>MSKCC</w:t>
      </w:r>
      <w:r w:rsidR="00F06229">
        <w:rPr>
          <w:rFonts w:ascii="Arial" w:hAnsi="Arial"/>
          <w:sz w:val="20"/>
          <w:szCs w:val="20"/>
        </w:rPr>
        <w:t>)</w:t>
      </w:r>
      <w:r w:rsidR="008373C4" w:rsidRPr="007618DA">
        <w:rPr>
          <w:rFonts w:ascii="Arial" w:hAnsi="Arial"/>
          <w:sz w:val="20"/>
          <w:szCs w:val="20"/>
        </w:rPr>
        <w:t xml:space="preserve"> and at 21.1</w:t>
      </w:r>
      <w:r w:rsidR="00F06229">
        <w:rPr>
          <w:rFonts w:ascii="Arial" w:hAnsi="Arial"/>
          <w:sz w:val="20"/>
          <w:szCs w:val="20"/>
        </w:rPr>
        <w:t xml:space="preserve"> T at the NHMFL. </w:t>
      </w:r>
      <w:r w:rsidR="008373C4" w:rsidRPr="007618DA">
        <w:rPr>
          <w:rFonts w:ascii="Arial" w:hAnsi="Arial"/>
          <w:sz w:val="20"/>
          <w:szCs w:val="20"/>
        </w:rPr>
        <w:t xml:space="preserve">Samples were then processed and histological determination of iron containing cells was </w:t>
      </w:r>
      <w:r w:rsidR="007618DA" w:rsidRPr="007618DA">
        <w:rPr>
          <w:rFonts w:ascii="Arial" w:hAnsi="Arial"/>
          <w:sz w:val="20"/>
          <w:szCs w:val="20"/>
        </w:rPr>
        <w:t xml:space="preserve">performed by </w:t>
      </w:r>
      <w:r w:rsidR="00A4090A">
        <w:rPr>
          <w:rFonts w:ascii="Arial" w:hAnsi="Arial"/>
          <w:sz w:val="20"/>
          <w:szCs w:val="20"/>
        </w:rPr>
        <w:t>co</w:t>
      </w:r>
      <w:r w:rsidR="00F06229">
        <w:rPr>
          <w:rFonts w:ascii="Arial" w:hAnsi="Arial"/>
          <w:sz w:val="20"/>
          <w:szCs w:val="20"/>
        </w:rPr>
        <w:t>-</w:t>
      </w:r>
      <w:r w:rsidR="00A4090A">
        <w:rPr>
          <w:rFonts w:ascii="Arial" w:hAnsi="Arial"/>
          <w:sz w:val="20"/>
          <w:szCs w:val="20"/>
        </w:rPr>
        <w:t xml:space="preserve">registration with </w:t>
      </w:r>
      <w:r w:rsidR="007618DA" w:rsidRPr="007618DA">
        <w:rPr>
          <w:rFonts w:ascii="Arial" w:hAnsi="Arial"/>
          <w:sz w:val="20"/>
          <w:szCs w:val="20"/>
        </w:rPr>
        <w:t xml:space="preserve">Prussian Blue </w:t>
      </w:r>
      <w:proofErr w:type="gramStart"/>
      <w:r w:rsidR="007618DA" w:rsidRPr="007618DA">
        <w:rPr>
          <w:rFonts w:ascii="Arial" w:hAnsi="Arial"/>
          <w:sz w:val="20"/>
          <w:szCs w:val="20"/>
        </w:rPr>
        <w:t>iron</w:t>
      </w:r>
      <w:r w:rsidR="008373C4" w:rsidRPr="007618DA">
        <w:rPr>
          <w:rFonts w:ascii="Arial" w:hAnsi="Arial"/>
          <w:sz w:val="20"/>
          <w:szCs w:val="20"/>
        </w:rPr>
        <w:t>(</w:t>
      </w:r>
      <w:proofErr w:type="gramEnd"/>
      <w:r w:rsidR="008373C4" w:rsidRPr="007618DA">
        <w:rPr>
          <w:rFonts w:ascii="Arial" w:hAnsi="Arial"/>
          <w:sz w:val="20"/>
          <w:szCs w:val="20"/>
        </w:rPr>
        <w:t xml:space="preserve">III) histology. </w:t>
      </w:r>
    </w:p>
    <w:p w14:paraId="6EC3BCB6" w14:textId="77777777" w:rsidR="002524EE" w:rsidRPr="007618DA" w:rsidRDefault="002524EE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62B90F8" w14:textId="77777777" w:rsidR="002524EE" w:rsidRPr="007618DA" w:rsidRDefault="002524EE" w:rsidP="007F297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Results and Discussion</w:t>
      </w:r>
    </w:p>
    <w:p w14:paraId="306567DD" w14:textId="42DF79F3" w:rsidR="00963ADE" w:rsidRPr="007618DA" w:rsidRDefault="007F297F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ADE" w:rsidRPr="007618DA">
        <w:rPr>
          <w:rFonts w:ascii="Arial" w:hAnsi="Arial" w:cs="Arial"/>
          <w:sz w:val="20"/>
          <w:szCs w:val="20"/>
        </w:rPr>
        <w:t xml:space="preserve">Localized high-iron deposits were detected </w:t>
      </w:r>
      <w:r w:rsidR="007618DA">
        <w:rPr>
          <w:rFonts w:ascii="Arial" w:hAnsi="Arial" w:cs="Arial"/>
          <w:sz w:val="20"/>
          <w:szCs w:val="20"/>
        </w:rPr>
        <w:t xml:space="preserve">in </w:t>
      </w:r>
      <w:r w:rsidR="00963ADE" w:rsidRPr="007618DA">
        <w:rPr>
          <w:rFonts w:ascii="Arial" w:hAnsi="Arial" w:cs="Arial"/>
          <w:sz w:val="20"/>
          <w:szCs w:val="20"/>
        </w:rPr>
        <w:t>breast tumor cross-sections using high-resolution T</w:t>
      </w:r>
      <w:r w:rsidR="00963ADE" w:rsidRPr="007618DA">
        <w:rPr>
          <w:rFonts w:ascii="Arial" w:hAnsi="Arial" w:cs="Arial"/>
          <w:sz w:val="20"/>
          <w:szCs w:val="20"/>
          <w:vertAlign w:val="subscript"/>
        </w:rPr>
        <w:t>2</w:t>
      </w:r>
      <w:r w:rsidR="00963ADE" w:rsidRPr="007618DA">
        <w:rPr>
          <w:rFonts w:ascii="Arial" w:hAnsi="Arial" w:cs="Arial"/>
          <w:sz w:val="20"/>
          <w:szCs w:val="20"/>
          <w:vertAlign w:val="superscript"/>
        </w:rPr>
        <w:t>*</w:t>
      </w:r>
      <w:r w:rsidR="00963ADE" w:rsidRPr="007618DA">
        <w:rPr>
          <w:rFonts w:ascii="Arial" w:hAnsi="Arial" w:cs="Arial"/>
          <w:sz w:val="20"/>
          <w:szCs w:val="20"/>
        </w:rPr>
        <w:t>-</w:t>
      </w:r>
      <w:proofErr w:type="spellStart"/>
      <w:r w:rsidR="00963ADE" w:rsidRPr="007618DA">
        <w:rPr>
          <w:rFonts w:ascii="Arial" w:hAnsi="Arial" w:cs="Arial"/>
          <w:sz w:val="20"/>
          <w:szCs w:val="20"/>
        </w:rPr>
        <w:t>relaxometry</w:t>
      </w:r>
      <w:proofErr w:type="spellEnd"/>
      <w:r w:rsidR="00963ADE" w:rsidRPr="007618DA">
        <w:rPr>
          <w:rFonts w:ascii="Arial" w:hAnsi="Arial" w:cs="Arial"/>
          <w:sz w:val="20"/>
          <w:szCs w:val="20"/>
        </w:rPr>
        <w:t xml:space="preserve"> (Fig 1</w:t>
      </w:r>
      <w:r w:rsidR="008F77EE">
        <w:rPr>
          <w:rFonts w:ascii="Arial" w:hAnsi="Arial" w:cs="Arial"/>
          <w:sz w:val="20"/>
          <w:szCs w:val="20"/>
        </w:rPr>
        <w:t>a</w:t>
      </w:r>
      <w:r w:rsidR="00963ADE" w:rsidRPr="007618DA">
        <w:rPr>
          <w:rFonts w:ascii="Arial" w:hAnsi="Arial" w:cs="Arial"/>
          <w:sz w:val="20"/>
          <w:szCs w:val="20"/>
        </w:rPr>
        <w:t xml:space="preserve">). </w:t>
      </w:r>
      <w:r w:rsidR="007618DA">
        <w:rPr>
          <w:rFonts w:ascii="Arial" w:hAnsi="Arial" w:cs="Arial"/>
          <w:sz w:val="20"/>
          <w:szCs w:val="20"/>
        </w:rPr>
        <w:t xml:space="preserve">Iron </w:t>
      </w:r>
      <w:r w:rsidR="00963ADE" w:rsidRPr="007618DA">
        <w:rPr>
          <w:rFonts w:ascii="Arial" w:hAnsi="Arial" w:cs="Arial"/>
          <w:sz w:val="20"/>
          <w:szCs w:val="20"/>
        </w:rPr>
        <w:t>MRI microscopy maps were co-registered with iron histology confirming the co-localization of the high-iron pixel cluster regions in the</w:t>
      </w:r>
      <w:r w:rsidR="007618DA">
        <w:rPr>
          <w:rFonts w:ascii="Arial" w:hAnsi="Arial" w:cs="Arial"/>
          <w:sz w:val="20"/>
          <w:szCs w:val="20"/>
        </w:rPr>
        <w:t xml:space="preserve"> iron </w:t>
      </w:r>
      <w:r w:rsidR="00963ADE" w:rsidRPr="007618DA">
        <w:rPr>
          <w:rFonts w:ascii="Arial" w:hAnsi="Arial" w:cs="Arial"/>
          <w:sz w:val="20"/>
          <w:szCs w:val="20"/>
        </w:rPr>
        <w:t>MRI images with iron-laden macrophage deposits</w:t>
      </w:r>
      <w:r w:rsidR="007618DA" w:rsidRPr="007618DA">
        <w:rPr>
          <w:rFonts w:ascii="Arial" w:hAnsi="Arial" w:cs="Arial"/>
          <w:sz w:val="20"/>
          <w:szCs w:val="20"/>
        </w:rPr>
        <w:t xml:space="preserve"> </w:t>
      </w:r>
      <w:r w:rsidR="008F77EE">
        <w:rPr>
          <w:rFonts w:ascii="Arial" w:hAnsi="Arial" w:cs="Arial"/>
          <w:sz w:val="20"/>
          <w:szCs w:val="20"/>
        </w:rPr>
        <w:t>(Fig 1b</w:t>
      </w:r>
      <w:r w:rsidR="00963ADE" w:rsidRPr="007618DA">
        <w:rPr>
          <w:rFonts w:ascii="Arial" w:hAnsi="Arial" w:cs="Arial"/>
          <w:sz w:val="20"/>
          <w:szCs w:val="20"/>
        </w:rPr>
        <w:t xml:space="preserve">).  </w:t>
      </w:r>
      <w:proofErr w:type="spellStart"/>
      <w:r w:rsidR="00963ADE" w:rsidRPr="007618DA">
        <w:rPr>
          <w:rFonts w:ascii="Arial" w:hAnsi="Arial" w:cs="Arial"/>
          <w:sz w:val="20"/>
          <w:szCs w:val="20"/>
        </w:rPr>
        <w:t>Relaxivity</w:t>
      </w:r>
      <w:proofErr w:type="spellEnd"/>
      <w:r w:rsidR="00963ADE" w:rsidRPr="007618DA">
        <w:rPr>
          <w:rFonts w:ascii="Arial" w:hAnsi="Arial" w:cs="Arial"/>
          <w:sz w:val="20"/>
          <w:szCs w:val="20"/>
        </w:rPr>
        <w:t xml:space="preserve"> of soluble and iron nanoparticle solutions </w:t>
      </w:r>
      <w:r w:rsidR="00A4090A">
        <w:rPr>
          <w:rFonts w:ascii="Arial" w:hAnsi="Arial" w:cs="Arial"/>
          <w:sz w:val="20"/>
          <w:szCs w:val="20"/>
        </w:rPr>
        <w:t>increased at</w:t>
      </w:r>
      <w:r w:rsidR="00963ADE" w:rsidRPr="007618DA">
        <w:rPr>
          <w:rFonts w:ascii="Arial" w:hAnsi="Arial" w:cs="Arial"/>
          <w:sz w:val="20"/>
          <w:szCs w:val="20"/>
        </w:rPr>
        <w:t xml:space="preserve"> </w:t>
      </w:r>
      <w:r w:rsidR="00A4090A">
        <w:rPr>
          <w:rFonts w:ascii="Arial" w:hAnsi="Arial" w:cs="Arial"/>
          <w:sz w:val="20"/>
          <w:szCs w:val="20"/>
        </w:rPr>
        <w:t>high</w:t>
      </w:r>
      <w:r w:rsidR="00963ADE" w:rsidRPr="007618DA">
        <w:rPr>
          <w:rFonts w:ascii="Arial" w:hAnsi="Arial" w:cs="Arial"/>
          <w:sz w:val="20"/>
          <w:szCs w:val="20"/>
        </w:rPr>
        <w:t xml:space="preserve"> field, and accordingly</w:t>
      </w:r>
      <w:r w:rsidR="007618DA" w:rsidRPr="007618DA">
        <w:rPr>
          <w:rFonts w:ascii="Arial" w:hAnsi="Arial" w:cs="Arial"/>
          <w:sz w:val="20"/>
          <w:szCs w:val="20"/>
        </w:rPr>
        <w:t>,</w:t>
      </w:r>
      <w:r w:rsidR="00963ADE" w:rsidRPr="007618DA">
        <w:rPr>
          <w:rFonts w:ascii="Arial" w:hAnsi="Arial" w:cs="Arial"/>
          <w:sz w:val="20"/>
          <w:szCs w:val="20"/>
        </w:rPr>
        <w:t xml:space="preserve"> sign</w:t>
      </w:r>
      <w:r w:rsidR="007618DA" w:rsidRPr="007618DA">
        <w:rPr>
          <w:rFonts w:ascii="Arial" w:hAnsi="Arial" w:cs="Arial"/>
          <w:sz w:val="20"/>
          <w:szCs w:val="20"/>
        </w:rPr>
        <w:t>ificant enhancement of iron deposit</w:t>
      </w:r>
      <w:r w:rsidR="00963ADE" w:rsidRPr="007618DA">
        <w:rPr>
          <w:rFonts w:ascii="Arial" w:hAnsi="Arial" w:cs="Arial"/>
          <w:sz w:val="20"/>
          <w:szCs w:val="20"/>
        </w:rPr>
        <w:t xml:space="preserve"> detection </w:t>
      </w:r>
      <w:r w:rsidR="007618DA" w:rsidRPr="007618DA">
        <w:rPr>
          <w:rFonts w:ascii="Arial" w:hAnsi="Arial" w:cs="Arial"/>
          <w:sz w:val="20"/>
          <w:szCs w:val="20"/>
        </w:rPr>
        <w:t xml:space="preserve">was observed </w:t>
      </w:r>
      <w:r w:rsidR="00963ADE" w:rsidRPr="007618DA">
        <w:rPr>
          <w:rFonts w:ascii="Arial" w:hAnsi="Arial" w:cs="Arial"/>
          <w:sz w:val="20"/>
          <w:szCs w:val="20"/>
        </w:rPr>
        <w:t>at 21</w:t>
      </w:r>
      <w:r w:rsidR="00F06229">
        <w:rPr>
          <w:rFonts w:ascii="Arial" w:hAnsi="Arial" w:cs="Arial"/>
          <w:sz w:val="20"/>
          <w:szCs w:val="20"/>
        </w:rPr>
        <w:t xml:space="preserve"> </w:t>
      </w:r>
      <w:r w:rsidR="00963ADE" w:rsidRPr="007618DA">
        <w:rPr>
          <w:rFonts w:ascii="Arial" w:hAnsi="Arial" w:cs="Arial"/>
          <w:sz w:val="20"/>
          <w:szCs w:val="20"/>
        </w:rPr>
        <w:t>T</w:t>
      </w:r>
      <w:r w:rsidR="007618DA">
        <w:rPr>
          <w:rFonts w:ascii="Arial" w:hAnsi="Arial" w:cs="Arial"/>
          <w:sz w:val="20"/>
          <w:szCs w:val="20"/>
        </w:rPr>
        <w:t xml:space="preserve"> </w:t>
      </w:r>
      <w:r w:rsidR="008F77EE">
        <w:rPr>
          <w:rFonts w:ascii="Arial" w:hAnsi="Arial" w:cs="Arial"/>
          <w:sz w:val="20"/>
          <w:szCs w:val="20"/>
        </w:rPr>
        <w:t>(Fig 1c</w:t>
      </w:r>
      <w:r w:rsidR="00963ADE" w:rsidRPr="007618DA">
        <w:rPr>
          <w:rFonts w:ascii="Arial" w:hAnsi="Arial" w:cs="Arial"/>
          <w:sz w:val="20"/>
          <w:szCs w:val="20"/>
        </w:rPr>
        <w:t xml:space="preserve">).  </w:t>
      </w:r>
    </w:p>
    <w:p w14:paraId="3D4E6719" w14:textId="6E26B5A1" w:rsidR="00E25473" w:rsidRPr="007618DA" w:rsidRDefault="007F297F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618DA">
        <w:rPr>
          <w:rFonts w:ascii="Arial" w:hAnsi="Arial"/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7F9EA97D" wp14:editId="422A9B0B">
            <wp:simplePos x="0" y="0"/>
            <wp:positionH relativeFrom="margin">
              <wp:posOffset>3665855</wp:posOffset>
            </wp:positionH>
            <wp:positionV relativeFrom="margin">
              <wp:posOffset>4406265</wp:posOffset>
            </wp:positionV>
            <wp:extent cx="2743200" cy="198501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ED72" w14:textId="77777777" w:rsidR="00E25473" w:rsidRPr="007618DA" w:rsidRDefault="00E25473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Conclusions</w:t>
      </w:r>
    </w:p>
    <w:p w14:paraId="4102ED34" w14:textId="77777777" w:rsidR="00963ADE" w:rsidRPr="007618DA" w:rsidRDefault="00963ADE" w:rsidP="007F297F">
      <w:pPr>
        <w:ind w:firstLine="360"/>
        <w:rPr>
          <w:rFonts w:ascii="Arial" w:hAnsi="Arial"/>
          <w:sz w:val="20"/>
          <w:szCs w:val="20"/>
        </w:rPr>
      </w:pPr>
      <w:r w:rsidRPr="007618DA">
        <w:rPr>
          <w:rFonts w:ascii="Arial" w:hAnsi="Arial"/>
          <w:sz w:val="20"/>
          <w:szCs w:val="20"/>
        </w:rPr>
        <w:t xml:space="preserve">Using the 21.1 T </w:t>
      </w:r>
      <w:proofErr w:type="gramStart"/>
      <w:r w:rsidRPr="007618DA">
        <w:rPr>
          <w:rFonts w:ascii="Arial" w:hAnsi="Arial"/>
          <w:sz w:val="20"/>
          <w:szCs w:val="20"/>
        </w:rPr>
        <w:t>magnet</w:t>
      </w:r>
      <w:proofErr w:type="gramEnd"/>
      <w:r w:rsidRPr="007618DA">
        <w:rPr>
          <w:rFonts w:ascii="Arial" w:hAnsi="Arial"/>
          <w:sz w:val="20"/>
          <w:szCs w:val="20"/>
        </w:rPr>
        <w:t xml:space="preserve"> available only at the NHMFL we confirmed high-field sensitivity gains </w:t>
      </w:r>
      <w:r w:rsidR="007618DA" w:rsidRPr="007618DA">
        <w:rPr>
          <w:rFonts w:ascii="Arial" w:hAnsi="Arial"/>
          <w:sz w:val="20"/>
          <w:szCs w:val="20"/>
        </w:rPr>
        <w:t xml:space="preserve">for macrophage iron deposits </w:t>
      </w:r>
      <w:r w:rsidRPr="007618DA">
        <w:rPr>
          <w:rFonts w:ascii="Arial" w:hAnsi="Arial"/>
          <w:sz w:val="20"/>
          <w:szCs w:val="20"/>
        </w:rPr>
        <w:t xml:space="preserve">leading to </w:t>
      </w:r>
      <w:r w:rsidR="007618DA" w:rsidRPr="007618DA">
        <w:rPr>
          <w:rFonts w:ascii="Arial" w:hAnsi="Arial"/>
          <w:sz w:val="20"/>
          <w:szCs w:val="20"/>
        </w:rPr>
        <w:t xml:space="preserve">their </w:t>
      </w:r>
      <w:r w:rsidRPr="007618DA">
        <w:rPr>
          <w:rFonts w:ascii="Arial" w:hAnsi="Arial"/>
          <w:sz w:val="20"/>
          <w:szCs w:val="20"/>
        </w:rPr>
        <w:t>enhanced detection</w:t>
      </w:r>
      <w:r w:rsidR="007618DA" w:rsidRPr="007618DA">
        <w:rPr>
          <w:rFonts w:ascii="Arial" w:hAnsi="Arial"/>
          <w:sz w:val="20"/>
          <w:szCs w:val="20"/>
        </w:rPr>
        <w:t xml:space="preserve"> in </w:t>
      </w:r>
      <w:r w:rsidRPr="007618DA">
        <w:rPr>
          <w:rFonts w:ascii="Arial" w:hAnsi="Arial"/>
          <w:sz w:val="20"/>
          <w:szCs w:val="20"/>
        </w:rPr>
        <w:t>tumors.  These observations confirm our previous findings connecting iron and macrophage deposition in prostate and breast cancer</w:t>
      </w:r>
      <w:r w:rsidR="007618DA">
        <w:rPr>
          <w:rFonts w:ascii="Arial" w:hAnsi="Arial"/>
          <w:sz w:val="20"/>
          <w:szCs w:val="20"/>
        </w:rPr>
        <w:t xml:space="preserve"> [1-2]</w:t>
      </w:r>
      <w:r w:rsidRPr="007618DA">
        <w:rPr>
          <w:rFonts w:ascii="Arial" w:hAnsi="Arial"/>
          <w:sz w:val="20"/>
          <w:szCs w:val="20"/>
        </w:rPr>
        <w:t xml:space="preserve">, and further supports the use of iron MRI as a metabolic immune cell imaging method with high-translational potential to provide non-invasive macrophage “biopsy” in cancer. </w:t>
      </w:r>
    </w:p>
    <w:p w14:paraId="2852C5F9" w14:textId="2801F528" w:rsidR="00734E94" w:rsidRPr="007618DA" w:rsidRDefault="00734E94" w:rsidP="007F297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A81B262" w14:textId="77777777" w:rsidR="00FB4399" w:rsidRPr="007618DA" w:rsidRDefault="00E25473" w:rsidP="007F297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Acknowledgements</w:t>
      </w:r>
    </w:p>
    <w:p w14:paraId="2CA513AC" w14:textId="78B66337" w:rsidR="00E25473" w:rsidRPr="007618DA" w:rsidRDefault="007F297F" w:rsidP="007F297F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D04E" wp14:editId="6FA33A54">
                <wp:simplePos x="0" y="0"/>
                <wp:positionH relativeFrom="column">
                  <wp:posOffset>3703320</wp:posOffset>
                </wp:positionH>
                <wp:positionV relativeFrom="paragraph">
                  <wp:posOffset>396240</wp:posOffset>
                </wp:positionV>
                <wp:extent cx="2615565" cy="1017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017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8BA572" w14:textId="77777777" w:rsidR="008F77EE" w:rsidRPr="007F297F" w:rsidRDefault="008F77EE" w:rsidP="007F297F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7F297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Figure </w:t>
                            </w:r>
                            <w:r w:rsidRPr="007F297F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begin"/>
                            </w:r>
                            <w:r w:rsidRPr="007F297F">
                              <w:rPr>
                                <w:rFonts w:ascii="Arial" w:hAnsi="Arial" w:cs="Arial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7F297F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separate"/>
                            </w:r>
                            <w:r w:rsidRPr="007F297F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1</w:t>
                            </w:r>
                            <w:r w:rsidRPr="007F297F">
                              <w:rPr>
                                <w:rFonts w:ascii="Arial" w:hAnsi="Arial" w:cs="Arial"/>
                                <w:color w:val="auto"/>
                              </w:rPr>
                              <w:fldChar w:fldCharType="end"/>
                            </w:r>
                            <w:r w:rsidR="00A4090A"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. (a) </w:t>
                            </w:r>
                            <w:r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Iron MRI map (b) Prussian blue iron(III) histology, and (3) field-dependent counts of iron macrophage deposits confirm the sensitivity of MRI </w:t>
                            </w:r>
                            <w:proofErr w:type="spellStart"/>
                            <w:r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relaxometry</w:t>
                            </w:r>
                            <w:proofErr w:type="spellEnd"/>
                            <w:r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for macrophage de</w:t>
                            </w:r>
                            <w:r w:rsidR="00A4090A"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posits </w:t>
                            </w:r>
                            <w:r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in breast tumors, and reveal </w:t>
                            </w:r>
                            <w:r w:rsidR="00A4090A"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that the ultrahigh 21T field enhances their detection</w:t>
                            </w:r>
                            <w:r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A4090A" w:rsidRPr="007F297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compared to 7T.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31.2pt;width:205.9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" stroked="f">
                <v:textbox inset="0,0,0,0">
                  <w:txbxContent>
                    <w:p w14:paraId="1B8BA572" w14:textId="77777777" w:rsidR="008F77EE" w:rsidRPr="007F297F" w:rsidRDefault="008F77EE" w:rsidP="007F297F">
                      <w:pPr>
                        <w:pStyle w:val="Caption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lang w:eastAsia="en-US"/>
                        </w:rPr>
                      </w:pPr>
                      <w:r w:rsidRPr="007F297F">
                        <w:rPr>
                          <w:rFonts w:ascii="Arial" w:hAnsi="Arial" w:cs="Arial"/>
                          <w:color w:val="auto"/>
                        </w:rPr>
                        <w:t xml:space="preserve">Figure </w:t>
                      </w:r>
                      <w:r w:rsidRPr="007F297F">
                        <w:rPr>
                          <w:rFonts w:ascii="Arial" w:hAnsi="Arial" w:cs="Arial"/>
                          <w:color w:val="auto"/>
                        </w:rPr>
                        <w:fldChar w:fldCharType="begin"/>
                      </w:r>
                      <w:r w:rsidRPr="007F297F">
                        <w:rPr>
                          <w:rFonts w:ascii="Arial" w:hAnsi="Arial" w:cs="Arial"/>
                          <w:color w:val="auto"/>
                        </w:rPr>
                        <w:instrText xml:space="preserve"> SEQ Figure \* ARABIC </w:instrText>
                      </w:r>
                      <w:r w:rsidRPr="007F297F">
                        <w:rPr>
                          <w:rFonts w:ascii="Arial" w:hAnsi="Arial" w:cs="Arial"/>
                          <w:color w:val="auto"/>
                        </w:rPr>
                        <w:fldChar w:fldCharType="separate"/>
                      </w:r>
                      <w:r w:rsidRPr="007F297F">
                        <w:rPr>
                          <w:rFonts w:ascii="Arial" w:hAnsi="Arial" w:cs="Arial"/>
                          <w:noProof/>
                          <w:color w:val="auto"/>
                        </w:rPr>
                        <w:t>1</w:t>
                      </w:r>
                      <w:r w:rsidRPr="007F297F">
                        <w:rPr>
                          <w:rFonts w:ascii="Arial" w:hAnsi="Arial" w:cs="Arial"/>
                          <w:color w:val="auto"/>
                        </w:rPr>
                        <w:fldChar w:fldCharType="end"/>
                      </w:r>
                      <w:r w:rsidR="00A4090A"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. (a) </w:t>
                      </w:r>
                      <w:r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Iron MRI map (b) Prussian blue iron(III) histology, and (3) field-dependent counts of iron macrophage deposits confirm the sensitivity of MRI </w:t>
                      </w:r>
                      <w:proofErr w:type="spellStart"/>
                      <w:r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>relaxometry</w:t>
                      </w:r>
                      <w:proofErr w:type="spellEnd"/>
                      <w:r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for macrophage de</w:t>
                      </w:r>
                      <w:r w:rsidR="00A4090A"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posits </w:t>
                      </w:r>
                      <w:r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in breast tumors, and reveal </w:t>
                      </w:r>
                      <w:r w:rsidR="00A4090A"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>that the ultrahigh 21T field enhances their detection</w:t>
                      </w:r>
                      <w:r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</w:t>
                      </w:r>
                      <w:r w:rsidR="00A4090A" w:rsidRPr="007F297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compared to 7T.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7618DA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 w:rsidRPr="007618DA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 w:rsidRPr="007618DA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7618DA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7618DA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7618DA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 w:rsidRPr="007618D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618DA" w:rsidRPr="007618DA">
        <w:rPr>
          <w:rFonts w:ascii="Arial" w:eastAsia="Times New Roman" w:hAnsi="Arial" w:cs="Arial"/>
          <w:sz w:val="20"/>
          <w:szCs w:val="20"/>
          <w:lang w:eastAsia="en-US"/>
        </w:rPr>
        <w:t xml:space="preserve">Additional support provided by </w:t>
      </w:r>
      <w:r w:rsidR="007618DA" w:rsidRPr="007618DA">
        <w:rPr>
          <w:rFonts w:ascii="Arial" w:hAnsi="Arial"/>
          <w:bCs/>
          <w:sz w:val="20"/>
          <w:szCs w:val="20"/>
        </w:rPr>
        <w:t xml:space="preserve">NIH </w:t>
      </w:r>
      <w:r w:rsidR="007618DA" w:rsidRPr="007618DA">
        <w:rPr>
          <w:rFonts w:ascii="Arial" w:hAnsi="Arial"/>
          <w:sz w:val="20"/>
          <w:szCs w:val="20"/>
        </w:rPr>
        <w:t xml:space="preserve">1F32CA206277. </w:t>
      </w:r>
    </w:p>
    <w:p w14:paraId="53F07E8E" w14:textId="77777777" w:rsidR="007618DA" w:rsidRDefault="007618D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C33FBF4" w14:textId="77777777" w:rsidR="007618DA" w:rsidRPr="007618DA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618DA">
        <w:rPr>
          <w:rFonts w:ascii="Arial" w:hAnsi="Arial" w:cs="Arial"/>
          <w:b/>
          <w:sz w:val="20"/>
          <w:szCs w:val="20"/>
        </w:rPr>
        <w:t>References</w:t>
      </w:r>
    </w:p>
    <w:p w14:paraId="0155AED7" w14:textId="486CE7C5" w:rsidR="007618DA" w:rsidRPr="007618DA" w:rsidRDefault="007F297F" w:rsidP="007618DA">
      <w:pPr>
        <w:ind w:left="720" w:hanging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[</w:t>
      </w:r>
      <w:r w:rsidR="007618DA" w:rsidRPr="007618DA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]</w:t>
      </w:r>
      <w:r w:rsidR="007618DA" w:rsidRPr="007618DA">
        <w:rPr>
          <w:rFonts w:ascii="Arial" w:hAnsi="Arial" w:cs="Arial"/>
          <w:noProof/>
          <w:sz w:val="20"/>
          <w:szCs w:val="20"/>
        </w:rPr>
        <w:t xml:space="preserve"> Leftin, A., </w:t>
      </w:r>
      <w:r w:rsidR="007618DA" w:rsidRPr="007F297F">
        <w:rPr>
          <w:rFonts w:ascii="Arial" w:hAnsi="Arial" w:cs="Arial"/>
          <w:i/>
          <w:noProof/>
          <w:sz w:val="20"/>
          <w:szCs w:val="20"/>
        </w:rPr>
        <w:t>et al.,</w:t>
      </w:r>
      <w:r w:rsidR="007618DA" w:rsidRPr="007618DA">
        <w:rPr>
          <w:rFonts w:ascii="Arial" w:hAnsi="Arial" w:cs="Arial"/>
          <w:noProof/>
          <w:sz w:val="20"/>
          <w:szCs w:val="20"/>
        </w:rPr>
        <w:t xml:space="preserve"> PLoS One, </w:t>
      </w:r>
      <w:r w:rsidR="007618DA" w:rsidRPr="007618DA">
        <w:rPr>
          <w:rFonts w:ascii="Arial" w:hAnsi="Arial" w:cs="Arial"/>
          <w:b/>
          <w:noProof/>
          <w:sz w:val="20"/>
          <w:szCs w:val="20"/>
        </w:rPr>
        <w:t>12</w:t>
      </w:r>
      <w:r w:rsidR="007618DA" w:rsidRPr="007F297F">
        <w:rPr>
          <w:rFonts w:ascii="Arial" w:hAnsi="Arial" w:cs="Arial"/>
          <w:b/>
          <w:noProof/>
          <w:sz w:val="20"/>
          <w:szCs w:val="20"/>
        </w:rPr>
        <w:t>(9)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7618DA" w:rsidRPr="007618DA">
        <w:rPr>
          <w:rFonts w:ascii="Arial" w:hAnsi="Arial" w:cs="Arial"/>
          <w:noProof/>
          <w:sz w:val="20"/>
          <w:szCs w:val="20"/>
        </w:rPr>
        <w:t>e0184765</w:t>
      </w:r>
      <w:r>
        <w:rPr>
          <w:rFonts w:ascii="Arial" w:hAnsi="Arial" w:cs="Arial"/>
          <w:noProof/>
          <w:sz w:val="20"/>
          <w:szCs w:val="20"/>
        </w:rPr>
        <w:t xml:space="preserve"> (2017)</w:t>
      </w:r>
      <w:r w:rsidR="007618DA" w:rsidRPr="007618DA">
        <w:rPr>
          <w:rFonts w:ascii="Arial" w:hAnsi="Arial" w:cs="Arial"/>
          <w:noProof/>
          <w:sz w:val="20"/>
          <w:szCs w:val="20"/>
        </w:rPr>
        <w:t>.</w:t>
      </w:r>
    </w:p>
    <w:p w14:paraId="4F21107F" w14:textId="71FFADAB" w:rsidR="007618DA" w:rsidRPr="007618DA" w:rsidRDefault="007F297F" w:rsidP="007618DA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" w:name="_ENREF_3"/>
      <w:r>
        <w:rPr>
          <w:rFonts w:ascii="Arial" w:hAnsi="Arial" w:cs="Arial"/>
          <w:noProof/>
          <w:sz w:val="20"/>
          <w:szCs w:val="20"/>
        </w:rPr>
        <w:t>[</w:t>
      </w:r>
      <w:r w:rsidR="007618DA"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</w:rPr>
        <w:t>]</w:t>
      </w:r>
      <w:r w:rsidR="007618DA" w:rsidRPr="007618DA">
        <w:rPr>
          <w:rFonts w:ascii="Arial" w:hAnsi="Arial" w:cs="Arial"/>
          <w:noProof/>
          <w:sz w:val="20"/>
          <w:szCs w:val="20"/>
        </w:rPr>
        <w:t xml:space="preserve"> Leftin, A., </w:t>
      </w:r>
      <w:r w:rsidR="007618DA" w:rsidRPr="007F297F">
        <w:rPr>
          <w:rFonts w:ascii="Arial" w:hAnsi="Arial" w:cs="Arial"/>
          <w:i/>
          <w:noProof/>
          <w:sz w:val="20"/>
          <w:szCs w:val="20"/>
        </w:rPr>
        <w:t>et al.,</w:t>
      </w:r>
      <w:r w:rsidR="007618DA" w:rsidRPr="007618DA">
        <w:rPr>
          <w:rFonts w:ascii="Arial" w:hAnsi="Arial" w:cs="Arial"/>
          <w:noProof/>
          <w:sz w:val="20"/>
          <w:szCs w:val="20"/>
        </w:rPr>
        <w:t xml:space="preserve"> Sci Rep, </w:t>
      </w:r>
      <w:r w:rsidR="007618DA" w:rsidRPr="007618DA">
        <w:rPr>
          <w:rFonts w:ascii="Arial" w:hAnsi="Arial" w:cs="Arial"/>
          <w:b/>
          <w:noProof/>
          <w:sz w:val="20"/>
          <w:szCs w:val="20"/>
        </w:rPr>
        <w:t>7</w:t>
      </w:r>
      <w:r w:rsidR="007618DA" w:rsidRPr="007F297F">
        <w:rPr>
          <w:rFonts w:ascii="Arial" w:hAnsi="Arial" w:cs="Arial"/>
          <w:b/>
          <w:noProof/>
          <w:sz w:val="20"/>
          <w:szCs w:val="20"/>
        </w:rPr>
        <w:t>(1)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7618DA" w:rsidRPr="007618DA">
        <w:rPr>
          <w:rFonts w:ascii="Arial" w:hAnsi="Arial" w:cs="Arial"/>
          <w:noProof/>
          <w:sz w:val="20"/>
          <w:szCs w:val="20"/>
        </w:rPr>
        <w:t>11632</w:t>
      </w:r>
      <w:r>
        <w:rPr>
          <w:rFonts w:ascii="Arial" w:hAnsi="Arial" w:cs="Arial"/>
          <w:noProof/>
          <w:sz w:val="20"/>
          <w:szCs w:val="20"/>
        </w:rPr>
        <w:t xml:space="preserve"> (2017)</w:t>
      </w:r>
      <w:r w:rsidR="007618DA" w:rsidRPr="007618DA">
        <w:rPr>
          <w:rFonts w:ascii="Arial" w:hAnsi="Arial" w:cs="Arial"/>
          <w:noProof/>
          <w:sz w:val="20"/>
          <w:szCs w:val="20"/>
        </w:rPr>
        <w:t>.</w:t>
      </w:r>
      <w:bookmarkEnd w:id="1"/>
    </w:p>
    <w:p w14:paraId="4282C04A" w14:textId="77777777" w:rsidR="007618DA" w:rsidRPr="007618DA" w:rsidRDefault="007618D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D17A842" w14:textId="77777777" w:rsidR="00F908F6" w:rsidRPr="007618DA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7618DA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24DE" w14:textId="77777777" w:rsidR="0025710B" w:rsidRDefault="0025710B">
      <w:r>
        <w:separator/>
      </w:r>
    </w:p>
  </w:endnote>
  <w:endnote w:type="continuationSeparator" w:id="0">
    <w:p w14:paraId="3946304D" w14:textId="77777777" w:rsidR="0025710B" w:rsidRDefault="0025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97B5" w14:textId="77777777" w:rsidR="0025710B" w:rsidRDefault="0025710B">
      <w:r>
        <w:separator/>
      </w:r>
    </w:p>
  </w:footnote>
  <w:footnote w:type="continuationSeparator" w:id="0">
    <w:p w14:paraId="79C8E494" w14:textId="77777777" w:rsidR="0025710B" w:rsidRDefault="0025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46AB" w14:textId="77777777" w:rsidR="008F77EE" w:rsidRDefault="008F77EE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C283A" wp14:editId="18FFF82A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2C236" w14:textId="77777777" w:rsidR="008F77EE" w:rsidRPr="00091A2B" w:rsidRDefault="008F77EE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57C16E87" w14:textId="77777777" w:rsidR="008F77EE" w:rsidRPr="00091A2B" w:rsidRDefault="008F77EE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DC2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GNw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" stroked="f">
              <v:textbox>
                <w:txbxContent>
                  <w:p w14:paraId="3062C236" w14:textId="77777777" w:rsidR="008F77EE" w:rsidRPr="00091A2B" w:rsidRDefault="008F77EE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57C16E87" w14:textId="77777777" w:rsidR="008F77EE" w:rsidRPr="00091A2B" w:rsidRDefault="008F77EE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EE0147D" wp14:editId="657ECB59">
          <wp:extent cx="523875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wr52de0o05saie5tx7vsz93rz2ppdftwepa&quot;&gt;Iron_BLZ&lt;record-ids&gt;&lt;item&gt;25&lt;/item&gt;&lt;item&gt;26&lt;/item&gt;&lt;item&gt;28&lt;/item&gt;&lt;/record-ids&gt;&lt;/item&gt;&lt;/Libraries&gt;"/>
  </w:docVars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5710B"/>
    <w:rsid w:val="00265A15"/>
    <w:rsid w:val="00290223"/>
    <w:rsid w:val="002A3BF2"/>
    <w:rsid w:val="002C7675"/>
    <w:rsid w:val="002E3F2D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059FF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18DA"/>
    <w:rsid w:val="00764FB5"/>
    <w:rsid w:val="00771745"/>
    <w:rsid w:val="00774A49"/>
    <w:rsid w:val="007C0813"/>
    <w:rsid w:val="007D3105"/>
    <w:rsid w:val="007E2F28"/>
    <w:rsid w:val="007F297F"/>
    <w:rsid w:val="008373C4"/>
    <w:rsid w:val="00847A94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8F77EE"/>
    <w:rsid w:val="00963ADE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090A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D6699"/>
    <w:rsid w:val="00BE2257"/>
    <w:rsid w:val="00C02989"/>
    <w:rsid w:val="00C076C7"/>
    <w:rsid w:val="00C124A3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0503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06229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85B9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7618DA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8F77EE"/>
    <w:pPr>
      <w:spacing w:after="200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7618DA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8F77EE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Karol Bickett</cp:lastModifiedBy>
  <cp:revision>2</cp:revision>
  <cp:lastPrinted>2015-07-15T16:10:00Z</cp:lastPrinted>
  <dcterms:created xsi:type="dcterms:W3CDTF">2018-01-23T21:38:00Z</dcterms:created>
  <dcterms:modified xsi:type="dcterms:W3CDTF">2018-01-23T21:38:00Z</dcterms:modified>
</cp:coreProperties>
</file>