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35D" w:rsidRPr="009B6B95" w:rsidRDefault="009B6B95" w:rsidP="0096335D">
      <w:pPr>
        <w:tabs>
          <w:tab w:val="left" w:pos="360"/>
        </w:tabs>
        <w:jc w:val="center"/>
        <w:rPr>
          <w:rFonts w:ascii="Arial" w:hAnsi="Arial" w:cs="Arial"/>
          <w:b/>
          <w:sz w:val="20"/>
        </w:rPr>
      </w:pPr>
      <w:r>
        <w:rPr>
          <w:rFonts w:ascii="Arial" w:hAnsi="Arial" w:cs="Arial"/>
          <w:b/>
        </w:rPr>
        <w:t>Heteroleptic Fe(II) Spin-Crossover Complexes with a N</w:t>
      </w:r>
      <w:r>
        <w:rPr>
          <w:rFonts w:ascii="Arial" w:hAnsi="Arial" w:cs="Arial"/>
          <w:b/>
          <w:vertAlign w:val="subscript"/>
        </w:rPr>
        <w:t>4</w:t>
      </w:r>
      <w:r>
        <w:rPr>
          <w:rFonts w:ascii="Arial" w:hAnsi="Arial" w:cs="Arial"/>
          <w:b/>
        </w:rPr>
        <w:t>S</w:t>
      </w:r>
      <w:r>
        <w:rPr>
          <w:rFonts w:ascii="Arial" w:hAnsi="Arial" w:cs="Arial"/>
          <w:b/>
          <w:vertAlign w:val="subscript"/>
        </w:rPr>
        <w:t>2</w:t>
      </w:r>
      <w:r>
        <w:rPr>
          <w:rFonts w:ascii="Arial" w:hAnsi="Arial" w:cs="Arial"/>
          <w:b/>
        </w:rPr>
        <w:t xml:space="preserve"> Coordination</w:t>
      </w:r>
    </w:p>
    <w:p w:rsidR="0096335D" w:rsidRDefault="0096335D" w:rsidP="0096335D">
      <w:pPr>
        <w:tabs>
          <w:tab w:val="left" w:pos="360"/>
        </w:tabs>
        <w:rPr>
          <w:rFonts w:ascii="Arial" w:hAnsi="Arial" w:cs="Arial"/>
          <w:sz w:val="20"/>
          <w:szCs w:val="20"/>
          <w:u w:val="single"/>
        </w:rPr>
      </w:pPr>
    </w:p>
    <w:p w:rsidR="0096335D" w:rsidRPr="006B3824" w:rsidRDefault="00350334" w:rsidP="0096335D">
      <w:pPr>
        <w:tabs>
          <w:tab w:val="left" w:pos="360"/>
        </w:tabs>
        <w:rPr>
          <w:rFonts w:ascii="Arial" w:hAnsi="Arial" w:cs="Arial"/>
          <w:sz w:val="20"/>
          <w:szCs w:val="20"/>
        </w:rPr>
      </w:pPr>
      <w:r w:rsidRPr="00A73834">
        <w:rPr>
          <w:rFonts w:ascii="Arial" w:hAnsi="Arial" w:cs="Arial"/>
          <w:sz w:val="20"/>
          <w:szCs w:val="20"/>
        </w:rPr>
        <w:t>Yergeshbayeva, S</w:t>
      </w:r>
      <w:r>
        <w:rPr>
          <w:rFonts w:ascii="Arial" w:hAnsi="Arial" w:cs="Arial"/>
          <w:sz w:val="20"/>
          <w:szCs w:val="20"/>
        </w:rPr>
        <w:t>.</w:t>
      </w:r>
      <w:r w:rsidR="00A83D02" w:rsidRPr="00350334">
        <w:rPr>
          <w:rFonts w:ascii="Arial" w:hAnsi="Arial" w:cs="Arial"/>
          <w:sz w:val="20"/>
          <w:szCs w:val="20"/>
        </w:rPr>
        <w:t xml:space="preserve">, </w:t>
      </w:r>
      <w:r w:rsidR="00A83D02" w:rsidRPr="00350334">
        <w:rPr>
          <w:rFonts w:ascii="Arial" w:hAnsi="Arial" w:cs="Arial"/>
          <w:sz w:val="20"/>
          <w:szCs w:val="20"/>
          <w:u w:val="single"/>
        </w:rPr>
        <w:t>Shatruk, M.</w:t>
      </w:r>
      <w:r w:rsidR="00A83D02" w:rsidRPr="00C31797">
        <w:rPr>
          <w:rFonts w:ascii="Arial" w:hAnsi="Arial" w:cs="Arial"/>
          <w:sz w:val="20"/>
          <w:szCs w:val="20"/>
        </w:rPr>
        <w:t>,</w:t>
      </w:r>
      <w:r w:rsidRPr="007108B4">
        <w:rPr>
          <w:rFonts w:ascii="Arial" w:hAnsi="Arial" w:cs="Arial"/>
          <w:sz w:val="20"/>
          <w:szCs w:val="20"/>
        </w:rPr>
        <w:t xml:space="preserve"> </w:t>
      </w:r>
      <w:r w:rsidRPr="00350334">
        <w:rPr>
          <w:rFonts w:ascii="Arial" w:hAnsi="Arial" w:cs="Arial"/>
          <w:sz w:val="20"/>
          <w:szCs w:val="20"/>
        </w:rPr>
        <w:t>Dragulescu-Andrasi, A.</w:t>
      </w:r>
      <w:r w:rsidR="0096335D" w:rsidRPr="00350334">
        <w:rPr>
          <w:rFonts w:ascii="Arial" w:hAnsi="Arial" w:cs="Arial"/>
          <w:sz w:val="20"/>
          <w:szCs w:val="20"/>
        </w:rPr>
        <w:t xml:space="preserve"> </w:t>
      </w:r>
      <w:r w:rsidR="0096335D">
        <w:rPr>
          <w:rFonts w:ascii="Arial" w:hAnsi="Arial" w:cs="Arial"/>
          <w:sz w:val="20"/>
          <w:szCs w:val="20"/>
        </w:rPr>
        <w:t>(</w:t>
      </w:r>
      <w:r w:rsidR="007108B4">
        <w:rPr>
          <w:rFonts w:ascii="Arial" w:hAnsi="Arial" w:cs="Arial"/>
          <w:sz w:val="20"/>
          <w:szCs w:val="20"/>
        </w:rPr>
        <w:t>FSU Chemistry and Biochemistry) and Stoian, S.A. (NH</w:t>
      </w:r>
      <w:r w:rsidR="0096335D">
        <w:rPr>
          <w:rFonts w:ascii="Arial" w:hAnsi="Arial" w:cs="Arial"/>
          <w:sz w:val="20"/>
          <w:szCs w:val="20"/>
        </w:rPr>
        <w:t>M</w:t>
      </w:r>
      <w:r w:rsidR="007108B4">
        <w:rPr>
          <w:rFonts w:ascii="Arial" w:hAnsi="Arial" w:cs="Arial"/>
          <w:sz w:val="20"/>
          <w:szCs w:val="20"/>
        </w:rPr>
        <w:t>F</w:t>
      </w:r>
      <w:r w:rsidR="0096335D">
        <w:rPr>
          <w:rFonts w:ascii="Arial" w:hAnsi="Arial" w:cs="Arial"/>
          <w:sz w:val="20"/>
          <w:szCs w:val="20"/>
        </w:rPr>
        <w:t>L)</w:t>
      </w:r>
    </w:p>
    <w:p w:rsidR="0096335D" w:rsidRPr="006B3824" w:rsidRDefault="0096335D" w:rsidP="0096335D">
      <w:pPr>
        <w:pBdr>
          <w:bottom w:val="single" w:sz="12" w:space="1" w:color="auto"/>
        </w:pBdr>
        <w:tabs>
          <w:tab w:val="left" w:pos="360"/>
        </w:tabs>
        <w:rPr>
          <w:rFonts w:ascii="Arial" w:hAnsi="Arial" w:cs="Arial"/>
          <w:sz w:val="20"/>
          <w:szCs w:val="20"/>
        </w:rPr>
      </w:pPr>
    </w:p>
    <w:p w:rsidR="0096335D" w:rsidRDefault="0096335D" w:rsidP="0096335D">
      <w:pPr>
        <w:tabs>
          <w:tab w:val="left" w:pos="360"/>
        </w:tabs>
        <w:rPr>
          <w:rFonts w:ascii="Arial" w:hAnsi="Arial" w:cs="Arial"/>
          <w:b/>
          <w:sz w:val="20"/>
          <w:szCs w:val="20"/>
        </w:rPr>
      </w:pPr>
    </w:p>
    <w:p w:rsidR="0096335D" w:rsidRDefault="0096335D" w:rsidP="0096335D">
      <w:pPr>
        <w:tabs>
          <w:tab w:val="left" w:pos="360"/>
        </w:tabs>
      </w:pPr>
      <w:r w:rsidRPr="006B3824">
        <w:rPr>
          <w:rFonts w:ascii="Arial" w:hAnsi="Arial" w:cs="Arial"/>
          <w:b/>
          <w:sz w:val="20"/>
          <w:szCs w:val="20"/>
        </w:rPr>
        <w:t>Introduction</w:t>
      </w:r>
    </w:p>
    <w:p w:rsidR="0096335D" w:rsidRPr="00A73834" w:rsidRDefault="00A83D02" w:rsidP="0096335D">
      <w:pPr>
        <w:pStyle w:val="Default"/>
        <w:ind w:firstLine="360"/>
        <w:rPr>
          <w:rFonts w:ascii="Arial" w:hAnsi="Arial" w:cs="Arial"/>
          <w:b/>
          <w:sz w:val="12"/>
          <w:szCs w:val="20"/>
        </w:rPr>
      </w:pPr>
      <w:r>
        <w:rPr>
          <w:rFonts w:ascii="Arial" w:hAnsi="Arial" w:cs="Arial"/>
          <w:sz w:val="20"/>
          <w:szCs w:val="20"/>
        </w:rPr>
        <w:t xml:space="preserve">Spin-crossover </w:t>
      </w:r>
      <w:r w:rsidR="009B6B95">
        <w:rPr>
          <w:rFonts w:ascii="Arial" w:hAnsi="Arial" w:cs="Arial"/>
          <w:sz w:val="20"/>
          <w:szCs w:val="20"/>
        </w:rPr>
        <w:t xml:space="preserve">(SCO) </w:t>
      </w:r>
      <w:r>
        <w:rPr>
          <w:rFonts w:ascii="Arial" w:hAnsi="Arial" w:cs="Arial"/>
          <w:sz w:val="20"/>
          <w:szCs w:val="20"/>
        </w:rPr>
        <w:t xml:space="preserve">compounds supported by first-row transition metals have attracted significant interest due to their magnetic bistability which is coupled with dramatic changes in structural and optical properties. Such multifarious switching can take place tersely and hysteretically </w:t>
      </w:r>
      <w:r w:rsidR="009B6B95">
        <w:rPr>
          <w:rFonts w:ascii="Arial" w:hAnsi="Arial" w:cs="Arial"/>
          <w:sz w:val="20"/>
          <w:szCs w:val="20"/>
        </w:rPr>
        <w:t xml:space="preserve">and </w:t>
      </w:r>
      <w:r>
        <w:rPr>
          <w:rFonts w:ascii="Arial" w:hAnsi="Arial" w:cs="Arial"/>
          <w:sz w:val="20"/>
          <w:szCs w:val="20"/>
        </w:rPr>
        <w:t xml:space="preserve">is induced by changes in temperature, pressure or </w:t>
      </w:r>
      <w:r w:rsidR="009B6B95">
        <w:rPr>
          <w:rFonts w:ascii="Arial" w:hAnsi="Arial" w:cs="Arial"/>
          <w:sz w:val="20"/>
          <w:szCs w:val="20"/>
        </w:rPr>
        <w:t xml:space="preserve">through </w:t>
      </w:r>
      <w:r>
        <w:rPr>
          <w:rFonts w:ascii="Arial" w:hAnsi="Arial" w:cs="Arial"/>
          <w:sz w:val="20"/>
          <w:szCs w:val="20"/>
        </w:rPr>
        <w:t xml:space="preserve">photoexcitation. Consequently, </w:t>
      </w:r>
      <w:r w:rsidR="009B6B95">
        <w:rPr>
          <w:rFonts w:ascii="Arial" w:hAnsi="Arial" w:cs="Arial"/>
          <w:sz w:val="20"/>
          <w:szCs w:val="20"/>
        </w:rPr>
        <w:t xml:space="preserve">materials based on </w:t>
      </w:r>
      <w:r>
        <w:rPr>
          <w:rFonts w:ascii="Arial" w:hAnsi="Arial" w:cs="Arial"/>
          <w:sz w:val="20"/>
          <w:szCs w:val="20"/>
        </w:rPr>
        <w:t xml:space="preserve">such SCO complexes </w:t>
      </w:r>
      <w:r w:rsidR="009B6B95">
        <w:rPr>
          <w:rFonts w:ascii="Arial" w:hAnsi="Arial" w:cs="Arial"/>
          <w:sz w:val="20"/>
          <w:szCs w:val="20"/>
        </w:rPr>
        <w:t xml:space="preserve">constitute promising candidates for applications in memory, sensing and display devices. While ferrous compounds with a coordination sphere consisting of six nitrogen-donor atoms account for most of the known SCO compounds we and others have recently demonstrated the occurrence of SCO behavior for </w:t>
      </w:r>
      <w:r w:rsidR="00350334">
        <w:rPr>
          <w:rFonts w:ascii="Arial" w:hAnsi="Arial" w:cs="Arial"/>
          <w:sz w:val="20"/>
          <w:szCs w:val="20"/>
        </w:rPr>
        <w:t xml:space="preserve">iron(II)-based </w:t>
      </w:r>
      <w:r w:rsidR="009B6B95">
        <w:rPr>
          <w:rFonts w:ascii="Arial" w:hAnsi="Arial" w:cs="Arial"/>
          <w:sz w:val="20"/>
          <w:szCs w:val="20"/>
        </w:rPr>
        <w:t>complexes incorporating a N</w:t>
      </w:r>
      <w:r w:rsidR="009B6B95">
        <w:rPr>
          <w:rFonts w:ascii="Arial" w:hAnsi="Arial" w:cs="Arial"/>
          <w:sz w:val="20"/>
          <w:szCs w:val="20"/>
          <w:vertAlign w:val="subscript"/>
        </w:rPr>
        <w:t>4</w:t>
      </w:r>
      <w:r w:rsidR="009B6B95">
        <w:rPr>
          <w:rFonts w:ascii="Arial" w:hAnsi="Arial" w:cs="Arial"/>
          <w:sz w:val="20"/>
          <w:szCs w:val="20"/>
        </w:rPr>
        <w:t>S</w:t>
      </w:r>
      <w:r w:rsidR="009B6B95">
        <w:rPr>
          <w:rFonts w:ascii="Arial" w:hAnsi="Arial" w:cs="Arial"/>
          <w:sz w:val="20"/>
          <w:szCs w:val="20"/>
          <w:vertAlign w:val="subscript"/>
        </w:rPr>
        <w:t>2</w:t>
      </w:r>
      <w:r w:rsidR="009B6B95">
        <w:rPr>
          <w:rFonts w:ascii="Arial" w:hAnsi="Arial" w:cs="Arial"/>
          <w:sz w:val="20"/>
          <w:szCs w:val="20"/>
        </w:rPr>
        <w:t xml:space="preserve"> coordination.</w:t>
      </w:r>
      <w:r w:rsidR="002C48AB" w:rsidRPr="002C48AB">
        <w:rPr>
          <w:rFonts w:ascii="Arial" w:hAnsi="Arial" w:cs="Arial"/>
          <w:sz w:val="20"/>
          <w:szCs w:val="20"/>
          <w:vertAlign w:val="superscript"/>
        </w:rPr>
        <w:t>1,2</w:t>
      </w:r>
      <w:r w:rsidR="009B6B95">
        <w:rPr>
          <w:rFonts w:ascii="Arial" w:hAnsi="Arial" w:cs="Arial"/>
          <w:sz w:val="20"/>
          <w:szCs w:val="20"/>
        </w:rPr>
        <w:t xml:space="preserve"> Specifically, we have investigated a series of complexes supported by S,S’-bis(2-pyridil</w:t>
      </w:r>
      <w:r w:rsidR="00A73834">
        <w:rPr>
          <w:rFonts w:ascii="Arial" w:hAnsi="Arial" w:cs="Arial"/>
          <w:sz w:val="20"/>
          <w:szCs w:val="20"/>
        </w:rPr>
        <w:t>methyl)-1,2-thioethane (bpte) in combinations with 2,2’-biimidazole (bim) and 1,1’-(α,α’-</w:t>
      </w:r>
      <w:r w:rsidR="00A73834">
        <w:rPr>
          <w:rFonts w:ascii="Arial" w:hAnsi="Arial" w:cs="Arial"/>
          <w:i/>
          <w:sz w:val="20"/>
          <w:szCs w:val="20"/>
        </w:rPr>
        <w:t>o</w:t>
      </w:r>
      <w:r w:rsidR="00A73834">
        <w:rPr>
          <w:rFonts w:ascii="Arial" w:hAnsi="Arial" w:cs="Arial"/>
          <w:sz w:val="20"/>
          <w:szCs w:val="20"/>
        </w:rPr>
        <w:t>-xylyl)-2,2’-biimidazole (xbim), that is, [Fe(bpte)(bim)]X</w:t>
      </w:r>
      <w:r w:rsidR="00A73834">
        <w:rPr>
          <w:rFonts w:ascii="Arial" w:hAnsi="Arial" w:cs="Arial"/>
          <w:sz w:val="20"/>
          <w:szCs w:val="20"/>
          <w:vertAlign w:val="subscript"/>
        </w:rPr>
        <w:t>2</w:t>
      </w:r>
      <w:r w:rsidR="00A73834">
        <w:rPr>
          <w:rFonts w:ascii="Arial" w:hAnsi="Arial" w:cs="Arial"/>
          <w:sz w:val="20"/>
          <w:szCs w:val="20"/>
        </w:rPr>
        <w:t xml:space="preserve"> and [Fe(bpte)(xbim)]X</w:t>
      </w:r>
      <w:r w:rsidR="00A73834">
        <w:rPr>
          <w:rFonts w:ascii="Arial" w:hAnsi="Arial" w:cs="Arial"/>
          <w:sz w:val="20"/>
          <w:szCs w:val="20"/>
          <w:vertAlign w:val="subscript"/>
        </w:rPr>
        <w:t>2</w:t>
      </w:r>
      <w:r w:rsidR="00A73834">
        <w:rPr>
          <w:rFonts w:ascii="Arial" w:hAnsi="Arial" w:cs="Arial"/>
          <w:sz w:val="20"/>
          <w:szCs w:val="20"/>
        </w:rPr>
        <w:t xml:space="preserve"> where X = ClO</w:t>
      </w:r>
      <w:r w:rsidR="00A73834">
        <w:rPr>
          <w:rFonts w:ascii="Arial" w:hAnsi="Arial" w:cs="Arial"/>
          <w:sz w:val="20"/>
          <w:szCs w:val="20"/>
          <w:vertAlign w:val="subscript"/>
        </w:rPr>
        <w:t>4</w:t>
      </w:r>
      <w:r w:rsidR="00A73834">
        <w:rPr>
          <w:rFonts w:ascii="Arial" w:hAnsi="Arial" w:cs="Arial"/>
          <w:sz w:val="20"/>
          <w:szCs w:val="20"/>
          <w:vertAlign w:val="superscript"/>
        </w:rPr>
        <w:t>-</w:t>
      </w:r>
      <w:r w:rsidR="00A73834">
        <w:rPr>
          <w:rFonts w:ascii="Arial" w:hAnsi="Arial" w:cs="Arial"/>
          <w:sz w:val="20"/>
          <w:szCs w:val="20"/>
        </w:rPr>
        <w:t>, BF</w:t>
      </w:r>
      <w:r w:rsidR="00A73834">
        <w:rPr>
          <w:rFonts w:ascii="Arial" w:hAnsi="Arial" w:cs="Arial"/>
          <w:sz w:val="20"/>
          <w:szCs w:val="20"/>
          <w:vertAlign w:val="subscript"/>
        </w:rPr>
        <w:t>4</w:t>
      </w:r>
      <w:r w:rsidR="00A73834">
        <w:rPr>
          <w:rFonts w:ascii="Arial" w:hAnsi="Arial" w:cs="Arial"/>
          <w:sz w:val="20"/>
          <w:szCs w:val="20"/>
          <w:vertAlign w:val="superscript"/>
        </w:rPr>
        <w:t>-</w:t>
      </w:r>
      <w:r w:rsidR="00A73834">
        <w:rPr>
          <w:rFonts w:ascii="Arial" w:hAnsi="Arial" w:cs="Arial"/>
          <w:sz w:val="20"/>
          <w:szCs w:val="20"/>
        </w:rPr>
        <w:t>, OTf</w:t>
      </w:r>
      <w:r w:rsidR="00A73834">
        <w:rPr>
          <w:rFonts w:ascii="Arial" w:hAnsi="Arial" w:cs="Arial"/>
          <w:sz w:val="20"/>
          <w:szCs w:val="20"/>
          <w:vertAlign w:val="superscript"/>
        </w:rPr>
        <w:t>-</w:t>
      </w:r>
      <w:r w:rsidR="00A73834">
        <w:rPr>
          <w:rFonts w:ascii="Arial" w:hAnsi="Arial" w:cs="Arial"/>
          <w:sz w:val="20"/>
          <w:szCs w:val="20"/>
        </w:rPr>
        <w:t>.</w:t>
      </w:r>
    </w:p>
    <w:p w:rsidR="00A83D02" w:rsidRDefault="00A83D02" w:rsidP="0096335D">
      <w:pPr>
        <w:pStyle w:val="Default"/>
        <w:jc w:val="both"/>
        <w:rPr>
          <w:rFonts w:ascii="Arial" w:hAnsi="Arial" w:cs="Arial"/>
          <w:b/>
          <w:sz w:val="20"/>
          <w:szCs w:val="20"/>
        </w:rPr>
      </w:pPr>
    </w:p>
    <w:p w:rsidR="0096335D" w:rsidRDefault="0096335D" w:rsidP="0096335D">
      <w:pPr>
        <w:pStyle w:val="Default"/>
        <w:jc w:val="both"/>
      </w:pPr>
      <w:r w:rsidRPr="006B3824">
        <w:rPr>
          <w:rFonts w:ascii="Arial" w:hAnsi="Arial" w:cs="Arial"/>
          <w:b/>
          <w:sz w:val="20"/>
          <w:szCs w:val="20"/>
        </w:rPr>
        <w:t>Experimental</w:t>
      </w:r>
    </w:p>
    <w:p w:rsidR="0096335D" w:rsidRDefault="0096335D" w:rsidP="0096335D">
      <w:pPr>
        <w:tabs>
          <w:tab w:val="left" w:pos="360"/>
        </w:tabs>
        <w:rPr>
          <w:rFonts w:ascii="Arial" w:hAnsi="Arial" w:cs="Arial"/>
          <w:sz w:val="20"/>
          <w:szCs w:val="20"/>
        </w:rPr>
      </w:pPr>
      <w:r>
        <w:rPr>
          <w:rFonts w:ascii="Arial" w:hAnsi="Arial" w:cs="Arial"/>
          <w:color w:val="000000"/>
          <w:sz w:val="20"/>
          <w:szCs w:val="20"/>
          <w:lang w:eastAsia="en-US"/>
        </w:rPr>
        <w:tab/>
        <w:t xml:space="preserve">Samples of </w:t>
      </w:r>
      <w:r w:rsidR="002C48AB">
        <w:rPr>
          <w:rFonts w:ascii="Arial" w:hAnsi="Arial" w:cs="Arial"/>
          <w:color w:val="000000"/>
          <w:sz w:val="20"/>
          <w:szCs w:val="20"/>
          <w:lang w:eastAsia="en-US"/>
        </w:rPr>
        <w:t xml:space="preserve">heteroleptic Fe(II) ions supported by bpte, xbim, and bim ligands </w:t>
      </w:r>
      <w:r>
        <w:rPr>
          <w:rFonts w:ascii="Arial" w:hAnsi="Arial" w:cs="Arial"/>
          <w:sz w:val="20"/>
          <w:szCs w:val="20"/>
        </w:rPr>
        <w:t>were</w:t>
      </w:r>
      <w:r w:rsidRPr="00EF3D1F">
        <w:rPr>
          <w:rFonts w:ascii="Arial" w:hAnsi="Arial" w:cs="Arial"/>
          <w:sz w:val="20"/>
          <w:szCs w:val="20"/>
        </w:rPr>
        <w:t xml:space="preserve"> investigated using the</w:t>
      </w:r>
      <w:r>
        <w:rPr>
          <w:rFonts w:ascii="Arial" w:hAnsi="Arial" w:cs="Arial"/>
          <w:sz w:val="20"/>
          <w:szCs w:val="20"/>
        </w:rPr>
        <w:t xml:space="preserve"> high-field</w:t>
      </w:r>
      <w:r w:rsidRPr="00EF3D1F">
        <w:rPr>
          <w:rFonts w:ascii="Arial" w:hAnsi="Arial" w:cs="Arial"/>
          <w:sz w:val="20"/>
          <w:szCs w:val="20"/>
        </w:rPr>
        <w:t xml:space="preserve"> Mössbauer</w:t>
      </w:r>
      <w:r>
        <w:rPr>
          <w:rFonts w:ascii="Arial" w:hAnsi="Arial" w:cs="Arial"/>
          <w:sz w:val="20"/>
          <w:szCs w:val="20"/>
        </w:rPr>
        <w:t xml:space="preserve"> spectrometer</w:t>
      </w:r>
      <w:r w:rsidRPr="00EF3D1F">
        <w:rPr>
          <w:rFonts w:ascii="Arial" w:hAnsi="Arial" w:cs="Arial"/>
          <w:sz w:val="20"/>
          <w:szCs w:val="20"/>
        </w:rPr>
        <w:t xml:space="preserve"> </w:t>
      </w:r>
      <w:r>
        <w:rPr>
          <w:rFonts w:ascii="Arial" w:hAnsi="Arial" w:cs="Arial"/>
          <w:sz w:val="20"/>
          <w:szCs w:val="20"/>
        </w:rPr>
        <w:t xml:space="preserve">available in </w:t>
      </w:r>
      <w:r w:rsidRPr="00EF3D1F">
        <w:rPr>
          <w:rFonts w:ascii="Arial" w:hAnsi="Arial" w:cs="Arial"/>
          <w:sz w:val="20"/>
          <w:szCs w:val="20"/>
        </w:rPr>
        <w:t>the EMR facility</w:t>
      </w:r>
      <w:r>
        <w:rPr>
          <w:rFonts w:ascii="Arial" w:hAnsi="Arial" w:cs="Arial"/>
          <w:sz w:val="20"/>
          <w:szCs w:val="20"/>
        </w:rPr>
        <w:t>.</w:t>
      </w:r>
    </w:p>
    <w:p w:rsidR="0096335D" w:rsidRPr="00E84C76" w:rsidRDefault="0096335D" w:rsidP="0096335D">
      <w:pPr>
        <w:tabs>
          <w:tab w:val="left" w:pos="360"/>
        </w:tabs>
        <w:rPr>
          <w:rFonts w:ascii="Arial" w:hAnsi="Arial" w:cs="Arial"/>
          <w:sz w:val="16"/>
          <w:szCs w:val="20"/>
        </w:rPr>
      </w:pPr>
    </w:p>
    <w:p w:rsidR="0096335D" w:rsidRDefault="0096335D" w:rsidP="0096335D">
      <w:pPr>
        <w:tabs>
          <w:tab w:val="left" w:pos="360"/>
        </w:tabs>
        <w:rPr>
          <w:rFonts w:ascii="Arial" w:hAnsi="Arial" w:cs="Arial"/>
          <w:sz w:val="20"/>
          <w:szCs w:val="20"/>
        </w:rPr>
      </w:pPr>
      <w:r w:rsidRPr="006B3824">
        <w:rPr>
          <w:rFonts w:ascii="Arial" w:hAnsi="Arial" w:cs="Arial"/>
          <w:b/>
          <w:sz w:val="20"/>
          <w:szCs w:val="20"/>
        </w:rPr>
        <w:t>Results and Discussion</w:t>
      </w:r>
    </w:p>
    <w:p w:rsidR="0096335D" w:rsidRPr="002C48AB" w:rsidRDefault="00A73834" w:rsidP="00440665">
      <w:pPr>
        <w:autoSpaceDE w:val="0"/>
        <w:autoSpaceDN w:val="0"/>
        <w:adjustRightInd w:val="0"/>
        <w:ind w:firstLine="360"/>
        <w:rPr>
          <w:rFonts w:ascii="Arial" w:hAnsi="Arial" w:cs="Arial"/>
          <w:sz w:val="20"/>
          <w:szCs w:val="20"/>
        </w:rPr>
      </w:pPr>
      <w:r>
        <w:rPr>
          <w:noProof/>
          <w:lang w:eastAsia="en-US"/>
        </w:rPr>
        <mc:AlternateContent>
          <mc:Choice Requires="wps">
            <w:drawing>
              <wp:anchor distT="0" distB="0" distL="114300" distR="114300" simplePos="0" relativeHeight="251660288" behindDoc="0" locked="0" layoutInCell="1" allowOverlap="1">
                <wp:simplePos x="0" y="0"/>
                <wp:positionH relativeFrom="column">
                  <wp:posOffset>3314700</wp:posOffset>
                </wp:positionH>
                <wp:positionV relativeFrom="paragraph">
                  <wp:posOffset>2155190</wp:posOffset>
                </wp:positionV>
                <wp:extent cx="2807335" cy="101727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7335" cy="1017270"/>
                        </a:xfrm>
                        <a:prstGeom prst="rect">
                          <a:avLst/>
                        </a:prstGeom>
                        <a:noFill/>
                        <a:ln w="9525">
                          <a:noFill/>
                          <a:miter lim="800000"/>
                          <a:headEnd/>
                          <a:tailEnd/>
                        </a:ln>
                      </wps:spPr>
                      <wps:txbx>
                        <w:txbxContent>
                          <w:p w:rsidR="0096335D" w:rsidRPr="00A73834" w:rsidRDefault="0096335D" w:rsidP="0096335D">
                            <w:pPr>
                              <w:rPr>
                                <w:rFonts w:ascii="Arial" w:hAnsi="Arial" w:cs="Arial"/>
                                <w:sz w:val="16"/>
                                <w:szCs w:val="16"/>
                              </w:rPr>
                            </w:pPr>
                            <w:r w:rsidRPr="00466AA1">
                              <w:rPr>
                                <w:rFonts w:ascii="Arial" w:hAnsi="Arial" w:cs="Arial"/>
                                <w:b/>
                                <w:sz w:val="18"/>
                                <w:szCs w:val="18"/>
                              </w:rPr>
                              <w:t>Fig.1</w:t>
                            </w:r>
                            <w:r w:rsidRPr="00466AA1">
                              <w:rPr>
                                <w:rFonts w:ascii="Arial" w:hAnsi="Arial" w:cs="Arial"/>
                                <w:sz w:val="18"/>
                                <w:szCs w:val="18"/>
                              </w:rPr>
                              <w:t xml:space="preserve"> </w:t>
                            </w:r>
                            <w:r w:rsidR="00A73834">
                              <w:rPr>
                                <w:rFonts w:ascii="Arial" w:hAnsi="Arial" w:cs="Arial"/>
                                <w:sz w:val="18"/>
                                <w:szCs w:val="18"/>
                              </w:rPr>
                              <w:t xml:space="preserve">Zero-field </w:t>
                            </w:r>
                            <w:r w:rsidR="00A73834">
                              <w:rPr>
                                <w:rFonts w:ascii="Arial" w:hAnsi="Arial" w:cs="Arial"/>
                                <w:sz w:val="18"/>
                                <w:szCs w:val="18"/>
                                <w:vertAlign w:val="superscript"/>
                              </w:rPr>
                              <w:t>57</w:t>
                            </w:r>
                            <w:r w:rsidR="00A73834">
                              <w:rPr>
                                <w:rFonts w:ascii="Arial" w:hAnsi="Arial" w:cs="Arial"/>
                                <w:sz w:val="18"/>
                                <w:szCs w:val="18"/>
                              </w:rPr>
                              <w:t>Fe Mössbauer spectra recorded at 4.2 K and 298 K for [Fe(bpte)(bim](ClO</w:t>
                            </w:r>
                            <w:r w:rsidR="00A73834">
                              <w:rPr>
                                <w:rFonts w:ascii="Arial" w:hAnsi="Arial" w:cs="Arial"/>
                                <w:sz w:val="18"/>
                                <w:szCs w:val="18"/>
                                <w:vertAlign w:val="subscript"/>
                              </w:rPr>
                              <w:t>4</w:t>
                            </w:r>
                            <w:r w:rsidR="00A73834">
                              <w:rPr>
                                <w:rFonts w:ascii="Arial" w:hAnsi="Arial" w:cs="Arial"/>
                                <w:sz w:val="18"/>
                                <w:szCs w:val="18"/>
                              </w:rPr>
                              <w:t>)</w:t>
                            </w:r>
                            <w:r w:rsidR="00A73834">
                              <w:rPr>
                                <w:rFonts w:ascii="Arial" w:hAnsi="Arial" w:cs="Arial"/>
                                <w:sz w:val="18"/>
                                <w:szCs w:val="18"/>
                                <w:vertAlign w:val="subscript"/>
                              </w:rPr>
                              <w:t>2</w:t>
                            </w:r>
                            <w:r w:rsidR="00A73834">
                              <w:rPr>
                                <w:rFonts w:ascii="Arial" w:hAnsi="Arial" w:cs="Arial"/>
                                <w:sz w:val="18"/>
                                <w:szCs w:val="18"/>
                              </w:rPr>
                              <w:t xml:space="preserve"> (a) and [Fe(bpte)(bim)](BF</w:t>
                            </w:r>
                            <w:r w:rsidR="00A73834">
                              <w:rPr>
                                <w:rFonts w:ascii="Arial" w:hAnsi="Arial" w:cs="Arial"/>
                                <w:sz w:val="18"/>
                                <w:szCs w:val="18"/>
                                <w:vertAlign w:val="subscript"/>
                              </w:rPr>
                              <w:t>4</w:t>
                            </w:r>
                            <w:r w:rsidR="00A73834">
                              <w:rPr>
                                <w:rFonts w:ascii="Arial" w:hAnsi="Arial" w:cs="Arial"/>
                                <w:sz w:val="18"/>
                                <w:szCs w:val="18"/>
                              </w:rPr>
                              <w:t>)</w:t>
                            </w:r>
                            <w:r w:rsidR="00A73834">
                              <w:rPr>
                                <w:rFonts w:ascii="Arial" w:hAnsi="Arial" w:cs="Arial"/>
                                <w:sz w:val="18"/>
                                <w:szCs w:val="18"/>
                                <w:vertAlign w:val="subscript"/>
                              </w:rPr>
                              <w:t>2</w:t>
                            </w:r>
                            <w:r w:rsidR="00A73834">
                              <w:rPr>
                                <w:rFonts w:ascii="Arial" w:hAnsi="Arial" w:cs="Arial"/>
                                <w:sz w:val="18"/>
                                <w:szCs w:val="18"/>
                              </w:rPr>
                              <w:t xml:space="preserve"> (b). The solid gray lines overlaid on the 298 K spectra are simulations obtained from the </w:t>
                            </w:r>
                            <w:r w:rsidR="00FF1475">
                              <w:rPr>
                                <w:rFonts w:ascii="Arial" w:hAnsi="Arial" w:cs="Arial"/>
                                <w:sz w:val="18"/>
                                <w:szCs w:val="18"/>
                              </w:rPr>
                              <w:t>sum of the low-spin component (red trace) and high-spin components (blue traces).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6" type="#_x0000_t202" style="position:absolute;margin-left:261pt;margin-top:169.7pt;width:221.05pt;height:80.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" filled="f" stroked="f">
                <v:textbox>
                  <w:txbxContent>
                    <w:p w:rsidR="0096335D" w:rsidRPr="00A73834" w:rsidRDefault="0096335D" w:rsidP="0096335D">
                      <w:pPr>
                        <w:rPr>
                          <w:rFonts w:ascii="Arial" w:hAnsi="Arial" w:cs="Arial"/>
                          <w:sz w:val="16"/>
                          <w:szCs w:val="16"/>
                        </w:rPr>
                      </w:pPr>
                      <w:r w:rsidRPr="00466AA1">
                        <w:rPr>
                          <w:rFonts w:ascii="Arial" w:hAnsi="Arial" w:cs="Arial"/>
                          <w:b/>
                          <w:sz w:val="18"/>
                          <w:szCs w:val="18"/>
                        </w:rPr>
                        <w:t>Fig.1</w:t>
                      </w:r>
                      <w:r w:rsidRPr="00466AA1">
                        <w:rPr>
                          <w:rFonts w:ascii="Arial" w:hAnsi="Arial" w:cs="Arial"/>
                          <w:sz w:val="18"/>
                          <w:szCs w:val="18"/>
                        </w:rPr>
                        <w:t xml:space="preserve"> </w:t>
                      </w:r>
                      <w:r w:rsidR="00A73834">
                        <w:rPr>
                          <w:rFonts w:ascii="Arial" w:hAnsi="Arial" w:cs="Arial"/>
                          <w:sz w:val="18"/>
                          <w:szCs w:val="18"/>
                        </w:rPr>
                        <w:t xml:space="preserve">Zero-field </w:t>
                      </w:r>
                      <w:r w:rsidR="00A73834">
                        <w:rPr>
                          <w:rFonts w:ascii="Arial" w:hAnsi="Arial" w:cs="Arial"/>
                          <w:sz w:val="18"/>
                          <w:szCs w:val="18"/>
                          <w:vertAlign w:val="superscript"/>
                        </w:rPr>
                        <w:t>57</w:t>
                      </w:r>
                      <w:r w:rsidR="00A73834">
                        <w:rPr>
                          <w:rFonts w:ascii="Arial" w:hAnsi="Arial" w:cs="Arial"/>
                          <w:sz w:val="18"/>
                          <w:szCs w:val="18"/>
                        </w:rPr>
                        <w:t>Fe Mössbauer spectra recorded at 4.2 K and 298 K for [</w:t>
                      </w:r>
                      <w:proofErr w:type="gramStart"/>
                      <w:r w:rsidR="00A73834">
                        <w:rPr>
                          <w:rFonts w:ascii="Arial" w:hAnsi="Arial" w:cs="Arial"/>
                          <w:sz w:val="18"/>
                          <w:szCs w:val="18"/>
                        </w:rPr>
                        <w:t>Fe(</w:t>
                      </w:r>
                      <w:proofErr w:type="spellStart"/>
                      <w:proofErr w:type="gramEnd"/>
                      <w:r w:rsidR="00A73834">
                        <w:rPr>
                          <w:rFonts w:ascii="Arial" w:hAnsi="Arial" w:cs="Arial"/>
                          <w:sz w:val="18"/>
                          <w:szCs w:val="18"/>
                        </w:rPr>
                        <w:t>bpte</w:t>
                      </w:r>
                      <w:proofErr w:type="spellEnd"/>
                      <w:r w:rsidR="00A73834">
                        <w:rPr>
                          <w:rFonts w:ascii="Arial" w:hAnsi="Arial" w:cs="Arial"/>
                          <w:sz w:val="18"/>
                          <w:szCs w:val="18"/>
                        </w:rPr>
                        <w:t>)(</w:t>
                      </w:r>
                      <w:proofErr w:type="spellStart"/>
                      <w:r w:rsidR="00A73834">
                        <w:rPr>
                          <w:rFonts w:ascii="Arial" w:hAnsi="Arial" w:cs="Arial"/>
                          <w:sz w:val="18"/>
                          <w:szCs w:val="18"/>
                        </w:rPr>
                        <w:t>bim</w:t>
                      </w:r>
                      <w:proofErr w:type="spellEnd"/>
                      <w:r w:rsidR="00A73834">
                        <w:rPr>
                          <w:rFonts w:ascii="Arial" w:hAnsi="Arial" w:cs="Arial"/>
                          <w:sz w:val="18"/>
                          <w:szCs w:val="18"/>
                        </w:rPr>
                        <w:t>](ClO</w:t>
                      </w:r>
                      <w:r w:rsidR="00A73834">
                        <w:rPr>
                          <w:rFonts w:ascii="Arial" w:hAnsi="Arial" w:cs="Arial"/>
                          <w:sz w:val="18"/>
                          <w:szCs w:val="18"/>
                          <w:vertAlign w:val="subscript"/>
                        </w:rPr>
                        <w:t>4</w:t>
                      </w:r>
                      <w:r w:rsidR="00A73834">
                        <w:rPr>
                          <w:rFonts w:ascii="Arial" w:hAnsi="Arial" w:cs="Arial"/>
                          <w:sz w:val="18"/>
                          <w:szCs w:val="18"/>
                        </w:rPr>
                        <w:t>)</w:t>
                      </w:r>
                      <w:r w:rsidR="00A73834">
                        <w:rPr>
                          <w:rFonts w:ascii="Arial" w:hAnsi="Arial" w:cs="Arial"/>
                          <w:sz w:val="18"/>
                          <w:szCs w:val="18"/>
                          <w:vertAlign w:val="subscript"/>
                        </w:rPr>
                        <w:t>2</w:t>
                      </w:r>
                      <w:r w:rsidR="00A73834">
                        <w:rPr>
                          <w:rFonts w:ascii="Arial" w:hAnsi="Arial" w:cs="Arial"/>
                          <w:sz w:val="18"/>
                          <w:szCs w:val="18"/>
                        </w:rPr>
                        <w:t xml:space="preserve"> (a) and [Fe(</w:t>
                      </w:r>
                      <w:proofErr w:type="spellStart"/>
                      <w:r w:rsidR="00A73834">
                        <w:rPr>
                          <w:rFonts w:ascii="Arial" w:hAnsi="Arial" w:cs="Arial"/>
                          <w:sz w:val="18"/>
                          <w:szCs w:val="18"/>
                        </w:rPr>
                        <w:t>bpte</w:t>
                      </w:r>
                      <w:proofErr w:type="spellEnd"/>
                      <w:r w:rsidR="00A73834">
                        <w:rPr>
                          <w:rFonts w:ascii="Arial" w:hAnsi="Arial" w:cs="Arial"/>
                          <w:sz w:val="18"/>
                          <w:szCs w:val="18"/>
                        </w:rPr>
                        <w:t>)(</w:t>
                      </w:r>
                      <w:proofErr w:type="spellStart"/>
                      <w:r w:rsidR="00A73834">
                        <w:rPr>
                          <w:rFonts w:ascii="Arial" w:hAnsi="Arial" w:cs="Arial"/>
                          <w:sz w:val="18"/>
                          <w:szCs w:val="18"/>
                        </w:rPr>
                        <w:t>bim</w:t>
                      </w:r>
                      <w:proofErr w:type="spellEnd"/>
                      <w:r w:rsidR="00A73834">
                        <w:rPr>
                          <w:rFonts w:ascii="Arial" w:hAnsi="Arial" w:cs="Arial"/>
                          <w:sz w:val="18"/>
                          <w:szCs w:val="18"/>
                        </w:rPr>
                        <w:t>)](BF</w:t>
                      </w:r>
                      <w:r w:rsidR="00A73834">
                        <w:rPr>
                          <w:rFonts w:ascii="Arial" w:hAnsi="Arial" w:cs="Arial"/>
                          <w:sz w:val="18"/>
                          <w:szCs w:val="18"/>
                          <w:vertAlign w:val="subscript"/>
                        </w:rPr>
                        <w:t>4</w:t>
                      </w:r>
                      <w:r w:rsidR="00A73834">
                        <w:rPr>
                          <w:rFonts w:ascii="Arial" w:hAnsi="Arial" w:cs="Arial"/>
                          <w:sz w:val="18"/>
                          <w:szCs w:val="18"/>
                        </w:rPr>
                        <w:t>)</w:t>
                      </w:r>
                      <w:r w:rsidR="00A73834">
                        <w:rPr>
                          <w:rFonts w:ascii="Arial" w:hAnsi="Arial" w:cs="Arial"/>
                          <w:sz w:val="18"/>
                          <w:szCs w:val="18"/>
                          <w:vertAlign w:val="subscript"/>
                        </w:rPr>
                        <w:t>2</w:t>
                      </w:r>
                      <w:r w:rsidR="00A73834">
                        <w:rPr>
                          <w:rFonts w:ascii="Arial" w:hAnsi="Arial" w:cs="Arial"/>
                          <w:sz w:val="18"/>
                          <w:szCs w:val="18"/>
                        </w:rPr>
                        <w:t xml:space="preserve"> (b). The solid gray lines overlaid on the 298 K spectra are simulations obtained from the </w:t>
                      </w:r>
                      <w:r w:rsidR="00FF1475">
                        <w:rPr>
                          <w:rFonts w:ascii="Arial" w:hAnsi="Arial" w:cs="Arial"/>
                          <w:sz w:val="18"/>
                          <w:szCs w:val="18"/>
                        </w:rPr>
                        <w:t>sum of the low-spin component (red trace) and high-spin components (blue traces).</w:t>
                      </w:r>
                    </w:p>
                  </w:txbxContent>
                </v:textbox>
                <w10:wrap type="square"/>
              </v:shape>
            </w:pict>
          </mc:Fallback>
        </mc:AlternateContent>
      </w:r>
      <w:r w:rsidRPr="00A73834">
        <w:rPr>
          <w:rFonts w:ascii="Arial" w:hAnsi="Arial" w:cs="Arial"/>
          <w:noProof/>
          <w:color w:val="000000"/>
          <w:sz w:val="20"/>
          <w:szCs w:val="20"/>
          <w:lang w:eastAsia="en-US"/>
        </w:rPr>
        <w:drawing>
          <wp:anchor distT="0" distB="0" distL="114300" distR="114300" simplePos="0" relativeHeight="251661312" behindDoc="1" locked="0" layoutInCell="1" allowOverlap="1" wp14:anchorId="41D106E4">
            <wp:simplePos x="0" y="0"/>
            <wp:positionH relativeFrom="page">
              <wp:posOffset>3819525</wp:posOffset>
            </wp:positionH>
            <wp:positionV relativeFrom="paragraph">
              <wp:posOffset>114935</wp:posOffset>
            </wp:positionV>
            <wp:extent cx="3019425" cy="1965960"/>
            <wp:effectExtent l="0" t="0" r="9525" b="0"/>
            <wp:wrapTight wrapText="bothSides">
              <wp:wrapPolygon edited="0">
                <wp:start x="0" y="0"/>
                <wp:lineTo x="0" y="21349"/>
                <wp:lineTo x="21532" y="21349"/>
                <wp:lineTo x="2153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19425" cy="19659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C48AB" w:rsidRPr="002C48AB">
        <w:rPr>
          <w:rFonts w:ascii="Arial" w:hAnsi="Arial" w:cs="Arial"/>
          <w:color w:val="000000"/>
          <w:sz w:val="20"/>
          <w:szCs w:val="20"/>
          <w:lang w:eastAsia="en-US"/>
        </w:rPr>
        <w:t>The magnetic properties</w:t>
      </w:r>
      <w:r w:rsidR="002C48AB">
        <w:rPr>
          <w:rFonts w:ascii="Arial" w:hAnsi="Arial" w:cs="Arial"/>
          <w:color w:val="000000"/>
          <w:sz w:val="20"/>
          <w:szCs w:val="20"/>
          <w:lang w:eastAsia="en-US"/>
        </w:rPr>
        <w:t xml:space="preserve"> including the temperature-dependent </w:t>
      </w:r>
      <w:r w:rsidR="002C48AB" w:rsidRPr="002C48AB">
        <w:rPr>
          <w:rFonts w:ascii="Arial" w:hAnsi="Arial" w:cs="Arial"/>
          <w:color w:val="000000"/>
          <w:sz w:val="20"/>
          <w:szCs w:val="20"/>
          <w:vertAlign w:val="superscript"/>
          <w:lang w:eastAsia="en-US"/>
        </w:rPr>
        <w:t>57</w:t>
      </w:r>
      <w:r w:rsidR="002C48AB">
        <w:rPr>
          <w:rFonts w:ascii="Arial" w:hAnsi="Arial" w:cs="Arial"/>
          <w:color w:val="000000"/>
          <w:sz w:val="20"/>
          <w:szCs w:val="20"/>
          <w:lang w:eastAsia="en-US"/>
        </w:rPr>
        <w:t>Fe Mössbauer spectra</w:t>
      </w:r>
      <w:r w:rsidR="002C48AB" w:rsidRPr="002C48AB">
        <w:rPr>
          <w:rFonts w:ascii="Arial" w:hAnsi="Arial" w:cs="Arial"/>
          <w:color w:val="000000"/>
          <w:sz w:val="20"/>
          <w:szCs w:val="20"/>
          <w:lang w:eastAsia="en-US"/>
        </w:rPr>
        <w:t xml:space="preserve"> of the complexes examined in this work indicate that the bpte ligand provides a slightly stronger ligand field as compared to the similar tetradentate ligand, tpma, which was used by us previously to obtain heteroleptic SCO complexes [Fe(tpma)(bim)](ClO</w:t>
      </w:r>
      <w:r w:rsidR="002C48AB" w:rsidRPr="002C48AB">
        <w:rPr>
          <w:rFonts w:ascii="Arial" w:hAnsi="Arial" w:cs="Arial"/>
          <w:color w:val="000000"/>
          <w:sz w:val="20"/>
          <w:szCs w:val="20"/>
          <w:vertAlign w:val="subscript"/>
          <w:lang w:eastAsia="en-US"/>
        </w:rPr>
        <w:t>4</w:t>
      </w:r>
      <w:r w:rsidR="002C48AB" w:rsidRPr="002C48AB">
        <w:rPr>
          <w:rFonts w:ascii="Arial" w:hAnsi="Arial" w:cs="Arial"/>
          <w:color w:val="000000"/>
          <w:sz w:val="20"/>
          <w:szCs w:val="20"/>
          <w:lang w:eastAsia="en-US"/>
        </w:rPr>
        <w:t>)</w:t>
      </w:r>
      <w:r w:rsidR="002C48AB" w:rsidRPr="002C48AB">
        <w:rPr>
          <w:rFonts w:ascii="Arial" w:hAnsi="Arial" w:cs="Arial"/>
          <w:color w:val="000000"/>
          <w:sz w:val="20"/>
          <w:szCs w:val="20"/>
          <w:vertAlign w:val="subscript"/>
          <w:lang w:eastAsia="en-US"/>
        </w:rPr>
        <w:t>2</w:t>
      </w:r>
      <w:r w:rsidR="002C48AB" w:rsidRPr="002C48AB">
        <w:rPr>
          <w:rFonts w:ascii="Arial" w:hAnsi="Arial" w:cs="Arial"/>
          <w:color w:val="000000"/>
          <w:sz w:val="20"/>
          <w:szCs w:val="20"/>
          <w:lang w:eastAsia="en-US"/>
        </w:rPr>
        <w:t>·0.5H</w:t>
      </w:r>
      <w:r w:rsidR="002C48AB" w:rsidRPr="00350334">
        <w:rPr>
          <w:rFonts w:ascii="Arial" w:hAnsi="Arial" w:cs="Arial"/>
          <w:color w:val="000000"/>
          <w:sz w:val="20"/>
          <w:szCs w:val="20"/>
          <w:vertAlign w:val="subscript"/>
          <w:lang w:eastAsia="en-US"/>
        </w:rPr>
        <w:t>2</w:t>
      </w:r>
      <w:r w:rsidR="002C48AB" w:rsidRPr="002C48AB">
        <w:rPr>
          <w:rFonts w:ascii="Arial" w:hAnsi="Arial" w:cs="Arial"/>
          <w:color w:val="000000"/>
          <w:sz w:val="20"/>
          <w:szCs w:val="20"/>
          <w:lang w:eastAsia="en-US"/>
        </w:rPr>
        <w:t>O and [Fe(tpma)(xbim)](ClO</w:t>
      </w:r>
      <w:r w:rsidR="002C48AB" w:rsidRPr="00350334">
        <w:rPr>
          <w:rFonts w:ascii="Arial" w:hAnsi="Arial" w:cs="Arial"/>
          <w:color w:val="000000"/>
          <w:sz w:val="20"/>
          <w:szCs w:val="20"/>
          <w:vertAlign w:val="subscript"/>
          <w:lang w:eastAsia="en-US"/>
        </w:rPr>
        <w:t>4</w:t>
      </w:r>
      <w:r w:rsidR="002C48AB" w:rsidRPr="002C48AB">
        <w:rPr>
          <w:rFonts w:ascii="Arial" w:hAnsi="Arial" w:cs="Arial"/>
          <w:color w:val="000000"/>
          <w:sz w:val="20"/>
          <w:szCs w:val="20"/>
          <w:lang w:eastAsia="en-US"/>
        </w:rPr>
        <w:t>)</w:t>
      </w:r>
      <w:r w:rsidR="002C48AB" w:rsidRPr="002C48AB">
        <w:rPr>
          <w:rFonts w:ascii="Arial" w:hAnsi="Arial" w:cs="Arial"/>
          <w:color w:val="000000"/>
          <w:sz w:val="20"/>
          <w:szCs w:val="20"/>
          <w:vertAlign w:val="subscript"/>
          <w:lang w:eastAsia="en-US"/>
        </w:rPr>
        <w:t>2</w:t>
      </w:r>
      <w:r w:rsidR="002C48AB" w:rsidRPr="002C48AB">
        <w:rPr>
          <w:rFonts w:ascii="Arial" w:hAnsi="Arial" w:cs="Arial"/>
          <w:color w:val="000000"/>
          <w:sz w:val="20"/>
          <w:szCs w:val="20"/>
          <w:lang w:eastAsia="en-US"/>
        </w:rPr>
        <w:t>, with T</w:t>
      </w:r>
      <w:r w:rsidR="002C48AB" w:rsidRPr="002C48AB">
        <w:rPr>
          <w:rFonts w:ascii="Arial" w:hAnsi="Arial" w:cs="Arial"/>
          <w:color w:val="000000"/>
          <w:sz w:val="20"/>
          <w:szCs w:val="20"/>
          <w:vertAlign w:val="subscript"/>
          <w:lang w:eastAsia="en-US"/>
        </w:rPr>
        <w:t>1/2</w:t>
      </w:r>
      <w:r w:rsidR="002C48AB" w:rsidRPr="002C48AB">
        <w:rPr>
          <w:rFonts w:ascii="Arial" w:hAnsi="Arial" w:cs="Arial"/>
          <w:color w:val="000000"/>
          <w:sz w:val="20"/>
          <w:szCs w:val="20"/>
          <w:lang w:eastAsia="en-US"/>
        </w:rPr>
        <w:t xml:space="preserve"> of 190 and 200 K, respectively.</w:t>
      </w:r>
      <w:r w:rsidR="002C48AB" w:rsidRPr="002C48AB">
        <w:rPr>
          <w:rFonts w:ascii="Arial" w:hAnsi="Arial" w:cs="Arial"/>
          <w:color w:val="082EFF"/>
          <w:sz w:val="20"/>
          <w:szCs w:val="20"/>
          <w:lang w:eastAsia="en-US"/>
        </w:rPr>
        <w:t xml:space="preserve"> </w:t>
      </w:r>
      <w:r w:rsidR="002C48AB" w:rsidRPr="002C48AB">
        <w:rPr>
          <w:rFonts w:ascii="Arial" w:hAnsi="Arial" w:cs="Arial"/>
          <w:color w:val="000000"/>
          <w:sz w:val="20"/>
          <w:szCs w:val="20"/>
          <w:lang w:eastAsia="en-US"/>
        </w:rPr>
        <w:t>Thus, while the typical coordination environment of Fe(II) SCO complexes contains six N-donor sites, our results demonstrate that the {N</w:t>
      </w:r>
      <w:r w:rsidR="002C48AB" w:rsidRPr="002C48AB">
        <w:rPr>
          <w:rFonts w:ascii="Arial" w:hAnsi="Arial" w:cs="Arial"/>
          <w:color w:val="000000"/>
          <w:sz w:val="20"/>
          <w:szCs w:val="20"/>
          <w:vertAlign w:val="subscript"/>
          <w:lang w:eastAsia="en-US"/>
        </w:rPr>
        <w:t>4</w:t>
      </w:r>
      <w:r w:rsidR="002C48AB" w:rsidRPr="002C48AB">
        <w:rPr>
          <w:rFonts w:ascii="Arial" w:hAnsi="Arial" w:cs="Arial"/>
          <w:color w:val="000000"/>
          <w:sz w:val="20"/>
          <w:szCs w:val="20"/>
          <w:lang w:eastAsia="en-US"/>
        </w:rPr>
        <w:t>S</w:t>
      </w:r>
      <w:r w:rsidR="002C48AB" w:rsidRPr="002C48AB">
        <w:rPr>
          <w:rFonts w:ascii="Arial" w:hAnsi="Arial" w:cs="Arial"/>
          <w:color w:val="000000"/>
          <w:sz w:val="20"/>
          <w:szCs w:val="20"/>
          <w:vertAlign w:val="subscript"/>
          <w:lang w:eastAsia="en-US"/>
        </w:rPr>
        <w:t>2</w:t>
      </w:r>
      <w:r w:rsidR="002C48AB" w:rsidRPr="002C48AB">
        <w:rPr>
          <w:rFonts w:ascii="Arial" w:hAnsi="Arial" w:cs="Arial"/>
          <w:color w:val="000000"/>
          <w:sz w:val="20"/>
          <w:szCs w:val="20"/>
          <w:lang w:eastAsia="en-US"/>
        </w:rPr>
        <w:t>} coordination appears to be a promising platform for the design of new SCO materials.</w:t>
      </w:r>
    </w:p>
    <w:p w:rsidR="0096335D" w:rsidRDefault="0096335D" w:rsidP="0096335D">
      <w:pPr>
        <w:tabs>
          <w:tab w:val="left" w:pos="360"/>
        </w:tabs>
        <w:jc w:val="both"/>
        <w:rPr>
          <w:rFonts w:ascii="Arial" w:hAnsi="Arial" w:cs="Arial"/>
          <w:b/>
          <w:sz w:val="20"/>
          <w:szCs w:val="20"/>
        </w:rPr>
      </w:pPr>
    </w:p>
    <w:p w:rsidR="0096335D" w:rsidRPr="006B3824" w:rsidRDefault="0096335D" w:rsidP="0096335D">
      <w:pPr>
        <w:tabs>
          <w:tab w:val="left" w:pos="360"/>
        </w:tabs>
        <w:rPr>
          <w:rFonts w:ascii="Arial" w:hAnsi="Arial" w:cs="Arial"/>
          <w:sz w:val="20"/>
          <w:szCs w:val="20"/>
        </w:rPr>
      </w:pPr>
      <w:r w:rsidRPr="006B3824">
        <w:rPr>
          <w:rFonts w:ascii="Arial" w:hAnsi="Arial" w:cs="Arial"/>
          <w:b/>
          <w:sz w:val="20"/>
          <w:szCs w:val="20"/>
        </w:rPr>
        <w:t>Conclusions</w:t>
      </w:r>
    </w:p>
    <w:p w:rsidR="0096335D" w:rsidRPr="006B3824" w:rsidRDefault="0096335D" w:rsidP="0096335D">
      <w:pPr>
        <w:tabs>
          <w:tab w:val="left" w:pos="360"/>
        </w:tabs>
        <w:rPr>
          <w:rFonts w:ascii="Arial" w:hAnsi="Arial" w:cs="Arial"/>
          <w:sz w:val="20"/>
          <w:szCs w:val="20"/>
        </w:rPr>
      </w:pPr>
      <w:r>
        <w:rPr>
          <w:rFonts w:ascii="Arial" w:hAnsi="Arial" w:cs="Arial"/>
          <w:sz w:val="20"/>
          <w:szCs w:val="20"/>
        </w:rPr>
        <w:tab/>
      </w:r>
      <w:r w:rsidR="002C48AB">
        <w:rPr>
          <w:rFonts w:ascii="Arial" w:hAnsi="Arial" w:cs="Arial"/>
          <w:sz w:val="20"/>
          <w:szCs w:val="20"/>
        </w:rPr>
        <w:t>This study expands the range of known coordination environments that can lead to a spin-crossover behavior for iron(II) ions.</w:t>
      </w:r>
      <w:r>
        <w:rPr>
          <w:rFonts w:ascii="Arial" w:hAnsi="Arial" w:cs="Arial"/>
          <w:sz w:val="20"/>
          <w:szCs w:val="20"/>
        </w:rPr>
        <w:t xml:space="preserve"> </w:t>
      </w:r>
    </w:p>
    <w:p w:rsidR="0096335D" w:rsidRDefault="0096335D" w:rsidP="0096335D">
      <w:pPr>
        <w:tabs>
          <w:tab w:val="left" w:pos="360"/>
        </w:tabs>
        <w:rPr>
          <w:rFonts w:ascii="Arial" w:hAnsi="Arial" w:cs="Arial"/>
          <w:b/>
          <w:sz w:val="20"/>
          <w:szCs w:val="20"/>
        </w:rPr>
      </w:pPr>
    </w:p>
    <w:p w:rsidR="0096335D" w:rsidRPr="006B3824" w:rsidRDefault="0096335D" w:rsidP="0096335D">
      <w:pPr>
        <w:tabs>
          <w:tab w:val="left" w:pos="360"/>
        </w:tabs>
        <w:rPr>
          <w:rFonts w:ascii="Arial" w:hAnsi="Arial" w:cs="Arial"/>
          <w:b/>
          <w:sz w:val="20"/>
          <w:szCs w:val="20"/>
        </w:rPr>
      </w:pPr>
      <w:r w:rsidRPr="006B3824">
        <w:rPr>
          <w:rFonts w:ascii="Arial" w:hAnsi="Arial" w:cs="Arial"/>
          <w:b/>
          <w:sz w:val="20"/>
          <w:szCs w:val="20"/>
        </w:rPr>
        <w:t xml:space="preserve">Acknowledgements </w:t>
      </w:r>
    </w:p>
    <w:p w:rsidR="0096335D" w:rsidRPr="006B3824" w:rsidRDefault="0096335D" w:rsidP="0096335D">
      <w:pPr>
        <w:tabs>
          <w:tab w:val="left" w:pos="360"/>
        </w:tabs>
        <w:rPr>
          <w:rFonts w:ascii="Arial" w:hAnsi="Arial" w:cs="Arial"/>
          <w:sz w:val="20"/>
          <w:szCs w:val="20"/>
        </w:rPr>
      </w:pPr>
      <w:r>
        <w:rPr>
          <w:rFonts w:ascii="Arial" w:hAnsi="Arial" w:cs="Arial"/>
          <w:sz w:val="20"/>
          <w:szCs w:val="20"/>
        </w:rPr>
        <w:tab/>
      </w:r>
      <w:r w:rsidRPr="00984212">
        <w:rPr>
          <w:rFonts w:ascii="Arial" w:hAnsi="Arial" w:cs="Arial"/>
          <w:sz w:val="20"/>
          <w:szCs w:val="20"/>
        </w:rPr>
        <w:t xml:space="preserve">The </w:t>
      </w:r>
      <w:r w:rsidRPr="00335FEF">
        <w:rPr>
          <w:rFonts w:ascii="Arial" w:hAnsi="Arial" w:cs="Arial"/>
          <w:sz w:val="20"/>
          <w:szCs w:val="20"/>
          <w:vertAlign w:val="superscript"/>
        </w:rPr>
        <w:t>57</w:t>
      </w:r>
      <w:r>
        <w:rPr>
          <w:rFonts w:ascii="Arial" w:hAnsi="Arial" w:cs="Arial"/>
          <w:sz w:val="20"/>
          <w:szCs w:val="20"/>
        </w:rPr>
        <w:t>Fe M</w:t>
      </w:r>
      <w:r>
        <w:rPr>
          <w:rFonts w:ascii="Cambria Math" w:hAnsi="Cambria Math" w:cs="Arial"/>
          <w:sz w:val="20"/>
          <w:szCs w:val="20"/>
        </w:rPr>
        <w:t>ö</w:t>
      </w:r>
      <w:r>
        <w:rPr>
          <w:rFonts w:ascii="Arial" w:hAnsi="Arial" w:cs="Arial"/>
          <w:sz w:val="20"/>
          <w:szCs w:val="20"/>
        </w:rPr>
        <w:t xml:space="preserve">ssbauer </w:t>
      </w:r>
      <w:r w:rsidRPr="00984212">
        <w:rPr>
          <w:rFonts w:ascii="Arial" w:hAnsi="Arial" w:cs="Arial"/>
          <w:sz w:val="20"/>
          <w:szCs w:val="20"/>
        </w:rPr>
        <w:t>spectra were recorded at the NHMFL, which is funded by the NSF through the Cooperative Agreement No. DMR–0654118, the State of Florida and the DOE.</w:t>
      </w:r>
      <w:r>
        <w:rPr>
          <w:rFonts w:ascii="Arial" w:hAnsi="Arial" w:cs="Arial"/>
          <w:sz w:val="20"/>
          <w:szCs w:val="20"/>
        </w:rPr>
        <w:t xml:space="preserve"> </w:t>
      </w:r>
      <w:r>
        <w:rPr>
          <w:rFonts w:ascii="Arial" w:hAnsi="Arial" w:cs="Arial"/>
          <w:color w:val="000000"/>
          <w:sz w:val="20"/>
          <w:szCs w:val="20"/>
        </w:rPr>
        <w:t>The Mössbauer instrument was funded by the</w:t>
      </w:r>
      <w:r>
        <w:rPr>
          <w:rStyle w:val="apple-converted-space"/>
          <w:rFonts w:ascii="Arial" w:hAnsi="Arial" w:cs="Arial"/>
          <w:color w:val="000000"/>
          <w:sz w:val="20"/>
          <w:szCs w:val="20"/>
        </w:rPr>
        <w:t xml:space="preserve"> </w:t>
      </w:r>
      <w:r>
        <w:rPr>
          <w:rFonts w:ascii="Arial" w:hAnsi="Arial" w:cs="Arial"/>
          <w:color w:val="000000"/>
          <w:sz w:val="20"/>
          <w:szCs w:val="20"/>
        </w:rPr>
        <w:t xml:space="preserve">UCGP-5064 grant (to </w:t>
      </w:r>
      <w:r w:rsidR="00C31797">
        <w:rPr>
          <w:rFonts w:ascii="Arial" w:hAnsi="Arial" w:cs="Arial"/>
          <w:color w:val="000000"/>
          <w:sz w:val="20"/>
          <w:szCs w:val="20"/>
        </w:rPr>
        <w:t>A.</w:t>
      </w:r>
      <w:r>
        <w:rPr>
          <w:rFonts w:ascii="Arial" w:hAnsi="Arial" w:cs="Arial"/>
          <w:color w:val="000000"/>
          <w:sz w:val="20"/>
          <w:szCs w:val="20"/>
        </w:rPr>
        <w:t xml:space="preserve"> Ozarowski).</w:t>
      </w:r>
      <w:r w:rsidR="002C48AB">
        <w:rPr>
          <w:rFonts w:ascii="Arial" w:hAnsi="Arial" w:cs="Arial"/>
          <w:color w:val="000000"/>
          <w:sz w:val="20"/>
          <w:szCs w:val="20"/>
        </w:rPr>
        <w:t xml:space="preserve"> This work was also supported by the US NSF award CHE-1464955 to MS.</w:t>
      </w:r>
    </w:p>
    <w:p w:rsidR="0096335D" w:rsidRPr="006B3824" w:rsidRDefault="0096335D" w:rsidP="0096335D">
      <w:pPr>
        <w:tabs>
          <w:tab w:val="left" w:pos="360"/>
        </w:tabs>
        <w:rPr>
          <w:rFonts w:ascii="Arial" w:hAnsi="Arial" w:cs="Arial"/>
          <w:sz w:val="20"/>
          <w:szCs w:val="20"/>
        </w:rPr>
      </w:pPr>
    </w:p>
    <w:p w:rsidR="0096335D" w:rsidRPr="00A83D02" w:rsidRDefault="0096335D" w:rsidP="0096335D">
      <w:pPr>
        <w:tabs>
          <w:tab w:val="left" w:pos="360"/>
        </w:tabs>
        <w:rPr>
          <w:rFonts w:ascii="Arial" w:hAnsi="Arial" w:cs="Arial"/>
          <w:b/>
          <w:sz w:val="20"/>
          <w:szCs w:val="20"/>
          <w:lang w:val="es-ES"/>
        </w:rPr>
      </w:pPr>
      <w:r w:rsidRPr="00A83D02">
        <w:rPr>
          <w:rFonts w:ascii="Arial" w:hAnsi="Arial" w:cs="Arial"/>
          <w:b/>
          <w:sz w:val="20"/>
          <w:szCs w:val="20"/>
          <w:lang w:val="es-ES"/>
        </w:rPr>
        <w:t>References</w:t>
      </w:r>
    </w:p>
    <w:p w:rsidR="0096335D" w:rsidRPr="00350334" w:rsidRDefault="0096335D" w:rsidP="0096335D">
      <w:pPr>
        <w:tabs>
          <w:tab w:val="left" w:pos="360"/>
        </w:tabs>
        <w:rPr>
          <w:rFonts w:ascii="Arial" w:hAnsi="Arial" w:cs="Arial"/>
          <w:sz w:val="20"/>
          <w:szCs w:val="20"/>
          <w:lang w:val="fr-FR"/>
        </w:rPr>
      </w:pPr>
      <w:r w:rsidRPr="00350334">
        <w:rPr>
          <w:rFonts w:ascii="Arial" w:hAnsi="Arial" w:cs="Arial"/>
          <w:sz w:val="20"/>
          <w:szCs w:val="20"/>
          <w:lang w:val="fr-FR"/>
        </w:rPr>
        <w:t xml:space="preserve">[1] </w:t>
      </w:r>
      <w:r w:rsidR="002C48AB" w:rsidRPr="00350334">
        <w:rPr>
          <w:rFonts w:ascii="Arial" w:hAnsi="Arial" w:cs="Arial"/>
          <w:sz w:val="20"/>
          <w:szCs w:val="20"/>
          <w:lang w:val="fr-FR"/>
        </w:rPr>
        <w:t>Lennartson</w:t>
      </w:r>
      <w:r w:rsidRPr="00350334">
        <w:rPr>
          <w:rFonts w:ascii="Arial" w:hAnsi="Arial" w:cs="Arial"/>
          <w:sz w:val="20"/>
          <w:szCs w:val="20"/>
          <w:lang w:val="fr-FR"/>
        </w:rPr>
        <w:t xml:space="preserve">, </w:t>
      </w:r>
      <w:r w:rsidR="002C48AB" w:rsidRPr="00350334">
        <w:rPr>
          <w:rFonts w:ascii="Arial" w:hAnsi="Arial" w:cs="Arial"/>
          <w:sz w:val="20"/>
          <w:szCs w:val="20"/>
          <w:lang w:val="fr-FR"/>
        </w:rPr>
        <w:t>A</w:t>
      </w:r>
      <w:r w:rsidRPr="00350334">
        <w:rPr>
          <w:rFonts w:ascii="Arial" w:hAnsi="Arial" w:cs="Arial"/>
          <w:sz w:val="20"/>
          <w:szCs w:val="20"/>
          <w:lang w:val="fr-FR"/>
        </w:rPr>
        <w:t xml:space="preserve">., </w:t>
      </w:r>
      <w:r w:rsidRPr="00350334">
        <w:rPr>
          <w:rFonts w:ascii="Arial" w:hAnsi="Arial" w:cs="Arial"/>
          <w:i/>
          <w:sz w:val="20"/>
          <w:szCs w:val="20"/>
          <w:lang w:val="fr-FR"/>
        </w:rPr>
        <w:t>et al.</w:t>
      </w:r>
      <w:r w:rsidRPr="00350334">
        <w:rPr>
          <w:rFonts w:ascii="Arial" w:hAnsi="Arial" w:cs="Arial"/>
          <w:sz w:val="20"/>
          <w:szCs w:val="20"/>
          <w:lang w:val="fr-FR"/>
        </w:rPr>
        <w:t xml:space="preserve">, </w:t>
      </w:r>
      <w:r w:rsidR="002C48AB" w:rsidRPr="00350334">
        <w:rPr>
          <w:rFonts w:ascii="Arial" w:hAnsi="Arial" w:cs="Arial"/>
          <w:sz w:val="20"/>
          <w:szCs w:val="20"/>
          <w:lang w:val="fr-FR"/>
        </w:rPr>
        <w:t>Angew</w:t>
      </w:r>
      <w:r w:rsidRPr="00350334">
        <w:rPr>
          <w:rFonts w:ascii="Arial" w:hAnsi="Arial" w:cs="Arial"/>
          <w:sz w:val="20"/>
          <w:szCs w:val="20"/>
          <w:lang w:val="fr-FR"/>
        </w:rPr>
        <w:t xml:space="preserve">. </w:t>
      </w:r>
      <w:r w:rsidR="002C48AB" w:rsidRPr="00350334">
        <w:rPr>
          <w:rFonts w:ascii="Arial" w:hAnsi="Arial" w:cs="Arial"/>
          <w:sz w:val="20"/>
          <w:szCs w:val="20"/>
          <w:lang w:val="fr-FR"/>
        </w:rPr>
        <w:t>Chem</w:t>
      </w:r>
      <w:r w:rsidRPr="00350334">
        <w:rPr>
          <w:rFonts w:ascii="Arial" w:hAnsi="Arial" w:cs="Arial"/>
          <w:sz w:val="20"/>
          <w:szCs w:val="20"/>
          <w:lang w:val="fr-FR"/>
        </w:rPr>
        <w:t xml:space="preserve">. </w:t>
      </w:r>
      <w:r w:rsidR="002C48AB" w:rsidRPr="00350334">
        <w:rPr>
          <w:rFonts w:ascii="Arial" w:hAnsi="Arial" w:cs="Arial"/>
          <w:sz w:val="20"/>
          <w:szCs w:val="20"/>
          <w:lang w:val="fr-FR"/>
        </w:rPr>
        <w:t>Int</w:t>
      </w:r>
      <w:r w:rsidRPr="00350334">
        <w:rPr>
          <w:rFonts w:ascii="Arial" w:hAnsi="Arial" w:cs="Arial"/>
          <w:sz w:val="20"/>
          <w:szCs w:val="20"/>
          <w:lang w:val="fr-FR"/>
        </w:rPr>
        <w:t xml:space="preserve">. </w:t>
      </w:r>
      <w:r w:rsidR="002C48AB" w:rsidRPr="00350334">
        <w:rPr>
          <w:rFonts w:ascii="Arial" w:hAnsi="Arial" w:cs="Arial"/>
          <w:sz w:val="20"/>
          <w:szCs w:val="20"/>
          <w:lang w:val="fr-FR"/>
        </w:rPr>
        <w:t>Ed</w:t>
      </w:r>
      <w:r w:rsidRPr="00350334">
        <w:rPr>
          <w:rFonts w:ascii="Arial" w:hAnsi="Arial" w:cs="Arial"/>
          <w:sz w:val="20"/>
          <w:szCs w:val="20"/>
          <w:lang w:val="fr-FR"/>
        </w:rPr>
        <w:t xml:space="preserve">., </w:t>
      </w:r>
      <w:r w:rsidR="002C48AB" w:rsidRPr="00350334">
        <w:rPr>
          <w:rFonts w:ascii="Arial" w:hAnsi="Arial" w:cs="Arial"/>
          <w:b/>
          <w:sz w:val="20"/>
          <w:szCs w:val="20"/>
          <w:lang w:val="fr-FR"/>
        </w:rPr>
        <w:t>51</w:t>
      </w:r>
      <w:r w:rsidRPr="00350334">
        <w:rPr>
          <w:rFonts w:ascii="Arial" w:hAnsi="Arial" w:cs="Arial"/>
          <w:sz w:val="20"/>
          <w:szCs w:val="20"/>
          <w:lang w:val="fr-FR"/>
        </w:rPr>
        <w:t xml:space="preserve">, </w:t>
      </w:r>
      <w:r w:rsidR="00350334" w:rsidRPr="00350334">
        <w:rPr>
          <w:rFonts w:ascii="Arial" w:hAnsi="Arial" w:cs="Arial"/>
          <w:sz w:val="20"/>
          <w:szCs w:val="20"/>
          <w:lang w:val="fr-FR"/>
        </w:rPr>
        <w:t>11049-11052</w:t>
      </w:r>
      <w:r w:rsidRPr="00350334">
        <w:rPr>
          <w:rFonts w:ascii="Arial" w:hAnsi="Arial" w:cs="Arial"/>
          <w:sz w:val="20"/>
          <w:szCs w:val="20"/>
          <w:lang w:val="fr-FR"/>
        </w:rPr>
        <w:t xml:space="preserve"> (201</w:t>
      </w:r>
      <w:r w:rsidR="00350334" w:rsidRPr="00350334">
        <w:rPr>
          <w:rFonts w:ascii="Arial" w:hAnsi="Arial" w:cs="Arial"/>
          <w:sz w:val="20"/>
          <w:szCs w:val="20"/>
          <w:lang w:val="fr-FR"/>
        </w:rPr>
        <w:t>2</w:t>
      </w:r>
      <w:r w:rsidRPr="00350334">
        <w:rPr>
          <w:rFonts w:ascii="Arial" w:hAnsi="Arial" w:cs="Arial"/>
          <w:sz w:val="20"/>
          <w:szCs w:val="20"/>
          <w:lang w:val="fr-FR"/>
        </w:rPr>
        <w:t>).</w:t>
      </w:r>
    </w:p>
    <w:p w:rsidR="0096335D" w:rsidRPr="0081339F" w:rsidRDefault="0096335D" w:rsidP="0096335D">
      <w:pPr>
        <w:tabs>
          <w:tab w:val="left" w:pos="360"/>
        </w:tabs>
        <w:rPr>
          <w:rFonts w:ascii="Arial" w:hAnsi="Arial" w:cs="Arial"/>
          <w:sz w:val="20"/>
          <w:szCs w:val="20"/>
        </w:rPr>
      </w:pPr>
      <w:r w:rsidRPr="00350334">
        <w:rPr>
          <w:rFonts w:ascii="Arial" w:hAnsi="Arial" w:cs="Arial"/>
          <w:sz w:val="20"/>
          <w:szCs w:val="20"/>
          <w:lang w:val="fr-FR"/>
        </w:rPr>
        <w:t xml:space="preserve">[2] </w:t>
      </w:r>
      <w:r w:rsidR="00350334" w:rsidRPr="00350334">
        <w:rPr>
          <w:rFonts w:ascii="Arial" w:hAnsi="Arial" w:cs="Arial"/>
          <w:sz w:val="20"/>
          <w:szCs w:val="20"/>
          <w:lang w:val="fr-FR"/>
        </w:rPr>
        <w:t>Arroyave</w:t>
      </w:r>
      <w:r w:rsidRPr="00350334">
        <w:rPr>
          <w:rFonts w:ascii="Arial" w:hAnsi="Arial" w:cs="Arial"/>
          <w:sz w:val="20"/>
          <w:szCs w:val="20"/>
          <w:lang w:val="fr-FR"/>
        </w:rPr>
        <w:t xml:space="preserve">, </w:t>
      </w:r>
      <w:r w:rsidR="00350334" w:rsidRPr="00350334">
        <w:rPr>
          <w:rFonts w:ascii="Arial" w:hAnsi="Arial" w:cs="Arial"/>
          <w:sz w:val="20"/>
          <w:szCs w:val="20"/>
          <w:lang w:val="fr-FR"/>
        </w:rPr>
        <w:t>A</w:t>
      </w:r>
      <w:r w:rsidRPr="00350334">
        <w:rPr>
          <w:rFonts w:ascii="Arial" w:hAnsi="Arial" w:cs="Arial"/>
          <w:sz w:val="20"/>
          <w:szCs w:val="20"/>
          <w:lang w:val="fr-FR"/>
        </w:rPr>
        <w:t xml:space="preserve">., </w:t>
      </w:r>
      <w:r w:rsidRPr="00350334">
        <w:rPr>
          <w:rFonts w:ascii="Arial" w:hAnsi="Arial" w:cs="Arial"/>
          <w:i/>
          <w:sz w:val="20"/>
          <w:szCs w:val="20"/>
          <w:lang w:val="fr-FR"/>
        </w:rPr>
        <w:t>et al.</w:t>
      </w:r>
      <w:r w:rsidRPr="00350334">
        <w:rPr>
          <w:rFonts w:ascii="Arial" w:hAnsi="Arial" w:cs="Arial"/>
          <w:sz w:val="20"/>
          <w:szCs w:val="20"/>
          <w:lang w:val="fr-FR"/>
        </w:rPr>
        <w:t xml:space="preserve">, </w:t>
      </w:r>
      <w:r w:rsidR="00350334" w:rsidRPr="00350334">
        <w:rPr>
          <w:rFonts w:ascii="Arial" w:hAnsi="Arial" w:cs="Arial"/>
          <w:sz w:val="20"/>
          <w:szCs w:val="20"/>
          <w:lang w:val="fr-FR"/>
        </w:rPr>
        <w:t>Inorg.</w:t>
      </w:r>
      <w:r w:rsidRPr="00350334">
        <w:rPr>
          <w:rFonts w:ascii="Arial" w:hAnsi="Arial" w:cs="Arial"/>
          <w:sz w:val="20"/>
          <w:szCs w:val="20"/>
          <w:lang w:val="fr-FR"/>
        </w:rPr>
        <w:t xml:space="preserve"> </w:t>
      </w:r>
      <w:r w:rsidRPr="00466AA1">
        <w:rPr>
          <w:rFonts w:ascii="Arial" w:hAnsi="Arial" w:cs="Arial"/>
          <w:sz w:val="20"/>
          <w:szCs w:val="20"/>
        </w:rPr>
        <w:t>Chem.,</w:t>
      </w:r>
      <w:r>
        <w:rPr>
          <w:rFonts w:ascii="Arial" w:hAnsi="Arial" w:cs="Arial"/>
          <w:b/>
          <w:i/>
          <w:sz w:val="20"/>
          <w:szCs w:val="20"/>
        </w:rPr>
        <w:t xml:space="preserve"> </w:t>
      </w:r>
      <w:r w:rsidR="00350334">
        <w:rPr>
          <w:rFonts w:ascii="Arial" w:hAnsi="Arial" w:cs="Arial"/>
          <w:b/>
          <w:sz w:val="20"/>
          <w:szCs w:val="20"/>
        </w:rPr>
        <w:t>55</w:t>
      </w:r>
      <w:r>
        <w:rPr>
          <w:rFonts w:ascii="Arial" w:hAnsi="Arial" w:cs="Arial"/>
          <w:sz w:val="20"/>
          <w:szCs w:val="20"/>
        </w:rPr>
        <w:t xml:space="preserve">, </w:t>
      </w:r>
      <w:r w:rsidR="00350334">
        <w:rPr>
          <w:rFonts w:ascii="Arial" w:hAnsi="Arial" w:cs="Arial"/>
          <w:sz w:val="20"/>
          <w:szCs w:val="20"/>
        </w:rPr>
        <w:t>5904</w:t>
      </w:r>
      <w:r>
        <w:rPr>
          <w:rFonts w:ascii="Arial" w:hAnsi="Arial" w:cs="Arial"/>
          <w:sz w:val="20"/>
          <w:szCs w:val="20"/>
        </w:rPr>
        <w:t>-</w:t>
      </w:r>
      <w:r w:rsidR="00350334">
        <w:rPr>
          <w:rFonts w:ascii="Arial" w:hAnsi="Arial" w:cs="Arial"/>
          <w:sz w:val="20"/>
          <w:szCs w:val="20"/>
        </w:rPr>
        <w:t>5913</w:t>
      </w:r>
      <w:r>
        <w:rPr>
          <w:rFonts w:ascii="Arial" w:hAnsi="Arial" w:cs="Arial"/>
          <w:sz w:val="20"/>
          <w:szCs w:val="20"/>
        </w:rPr>
        <w:t xml:space="preserve"> (</w:t>
      </w:r>
      <w:r w:rsidRPr="00466AA1">
        <w:rPr>
          <w:rFonts w:ascii="Arial" w:hAnsi="Arial" w:cs="Arial"/>
          <w:sz w:val="20"/>
          <w:szCs w:val="20"/>
        </w:rPr>
        <w:t>201</w:t>
      </w:r>
      <w:r w:rsidR="00350334">
        <w:rPr>
          <w:rFonts w:ascii="Arial" w:hAnsi="Arial" w:cs="Arial"/>
          <w:sz w:val="20"/>
          <w:szCs w:val="20"/>
        </w:rPr>
        <w:t>6</w:t>
      </w:r>
      <w:r>
        <w:rPr>
          <w:rFonts w:ascii="Arial" w:hAnsi="Arial" w:cs="Arial"/>
          <w:sz w:val="20"/>
          <w:szCs w:val="20"/>
        </w:rPr>
        <w:t>).</w:t>
      </w:r>
    </w:p>
    <w:p w:rsidR="00F908F6" w:rsidRPr="0096335D" w:rsidRDefault="00F908F6" w:rsidP="0096335D"/>
    <w:sectPr w:rsidR="00F908F6" w:rsidRPr="0096335D" w:rsidSect="00450C97">
      <w:headerReference w:type="even" r:id="rId12"/>
      <w:headerReference w:type="default" r:id="rId13"/>
      <w:footerReference w:type="even" r:id="rId14"/>
      <w:footerReference w:type="default" r:id="rId15"/>
      <w:headerReference w:type="first" r:id="rId16"/>
      <w:footerReference w:type="first" r:id="rId17"/>
      <w:pgSz w:w="12240" w:h="15840" w:code="1"/>
      <w:pgMar w:top="1155" w:right="1080" w:bottom="1080" w:left="1080" w:header="18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5317" w:rsidRDefault="00B05317">
      <w:r>
        <w:separator/>
      </w:r>
    </w:p>
  </w:endnote>
  <w:endnote w:type="continuationSeparator" w:id="0">
    <w:p w:rsidR="00B05317" w:rsidRDefault="00B05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48E" w:rsidRDefault="00F6148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48E" w:rsidRDefault="00F6148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48E" w:rsidRDefault="00F614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5317" w:rsidRDefault="00B05317">
      <w:r>
        <w:separator/>
      </w:r>
    </w:p>
  </w:footnote>
  <w:footnote w:type="continuationSeparator" w:id="0">
    <w:p w:rsidR="00B05317" w:rsidRDefault="00B053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48E" w:rsidRDefault="00F6148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4C6" w:rsidRDefault="0096335D" w:rsidP="00F974C6">
    <w:pPr>
      <w:pStyle w:val="Header"/>
      <w:rPr>
        <w:rStyle w:val="BookTitle1"/>
        <w:rFonts w:ascii="Arial" w:hAnsi="Arial" w:cs="Arial"/>
        <w:color w:val="1F497D"/>
        <w:sz w:val="22"/>
        <w:szCs w:val="22"/>
      </w:rPr>
    </w:pPr>
    <w:r>
      <w:rPr>
        <w:noProof/>
        <w:lang w:eastAsia="en-US"/>
      </w:rPr>
      <mc:AlternateContent>
        <mc:Choice Requires="wps">
          <w:drawing>
            <wp:anchor distT="0" distB="0" distL="114300" distR="114300" simplePos="0" relativeHeight="251657728" behindDoc="0" locked="0" layoutInCell="1" allowOverlap="1">
              <wp:simplePos x="0" y="0"/>
              <wp:positionH relativeFrom="column">
                <wp:posOffset>1200150</wp:posOffset>
              </wp:positionH>
              <wp:positionV relativeFrom="paragraph">
                <wp:posOffset>66040</wp:posOffset>
              </wp:positionV>
              <wp:extent cx="3876675" cy="429260"/>
              <wp:effectExtent l="0" t="0" r="9525" b="889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6675" cy="429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148E" w:rsidRPr="00091A2B" w:rsidRDefault="00F6148E" w:rsidP="00F6148E">
                          <w:pPr>
                            <w:jc w:val="center"/>
                            <w:rPr>
                              <w:rFonts w:ascii="Arial" w:hAnsi="Arial" w:cs="Arial"/>
                              <w:b/>
                              <w:color w:val="7030A0"/>
                              <w:sz w:val="22"/>
                              <w:szCs w:val="22"/>
                            </w:rPr>
                          </w:pPr>
                          <w:r w:rsidRPr="00091A2B">
                            <w:rPr>
                              <w:rFonts w:ascii="Arial" w:hAnsi="Arial" w:cs="Arial"/>
                              <w:b/>
                              <w:color w:val="7030A0"/>
                              <w:sz w:val="22"/>
                              <w:szCs w:val="22"/>
                            </w:rPr>
                            <w:t>NATIONAL HIGH MAGNETIC FIELD LABORATORY</w:t>
                          </w:r>
                        </w:p>
                        <w:p w:rsidR="00F6148E" w:rsidRPr="00091A2B" w:rsidRDefault="00F6148E" w:rsidP="00F6148E">
                          <w:pPr>
                            <w:jc w:val="center"/>
                            <w:rPr>
                              <w:rFonts w:ascii="Arial" w:hAnsi="Arial" w:cs="Arial"/>
                              <w:b/>
                              <w:color w:val="7030A0"/>
                              <w:sz w:val="22"/>
                              <w:szCs w:val="22"/>
                            </w:rPr>
                          </w:pPr>
                          <w:r w:rsidRPr="00091A2B">
                            <w:rPr>
                              <w:rFonts w:ascii="Arial" w:hAnsi="Arial" w:cs="Arial"/>
                              <w:b/>
                              <w:color w:val="7030A0"/>
                              <w:sz w:val="22"/>
                              <w:szCs w:val="22"/>
                            </w:rPr>
                            <w:t>2017 ANNUAL RESEARCH REPORT</w:t>
                          </w:r>
                        </w:p>
                        <w:p w:rsidR="00F974C6" w:rsidRPr="00306550" w:rsidRDefault="00F974C6" w:rsidP="001E6BF4">
                          <w:pPr>
                            <w:jc w:val="center"/>
                            <w:rPr>
                              <w:rFonts w:ascii="Arial" w:hAnsi="Arial" w:cs="Arial"/>
                              <w:b/>
                              <w:color w:val="17365D"/>
                              <w:sz w:val="22"/>
                              <w:szCs w:val="22"/>
                            </w:rPr>
                          </w:pPr>
                          <w:bookmarkStart w:id="0" w:name="_GoBack"/>
                          <w:bookmarkEnd w:id="0"/>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94.5pt;margin-top:5.2pt;width:305.25pt;height:33.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mv0gwIAAA8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" stroked="f">
              <v:textbox>
                <w:txbxContent>
                  <w:p w:rsidR="00F6148E" w:rsidRPr="00091A2B" w:rsidRDefault="00F6148E" w:rsidP="00F6148E">
                    <w:pPr>
                      <w:jc w:val="center"/>
                      <w:rPr>
                        <w:rFonts w:ascii="Arial" w:hAnsi="Arial" w:cs="Arial"/>
                        <w:b/>
                        <w:color w:val="7030A0"/>
                        <w:sz w:val="22"/>
                        <w:szCs w:val="22"/>
                      </w:rPr>
                    </w:pPr>
                    <w:r w:rsidRPr="00091A2B">
                      <w:rPr>
                        <w:rFonts w:ascii="Arial" w:hAnsi="Arial" w:cs="Arial"/>
                        <w:b/>
                        <w:color w:val="7030A0"/>
                        <w:sz w:val="22"/>
                        <w:szCs w:val="22"/>
                      </w:rPr>
                      <w:t>NATIONAL HIGH MAGNETIC FIELD LABORATORY</w:t>
                    </w:r>
                  </w:p>
                  <w:p w:rsidR="00F6148E" w:rsidRPr="00091A2B" w:rsidRDefault="00F6148E" w:rsidP="00F6148E">
                    <w:pPr>
                      <w:jc w:val="center"/>
                      <w:rPr>
                        <w:rFonts w:ascii="Arial" w:hAnsi="Arial" w:cs="Arial"/>
                        <w:b/>
                        <w:color w:val="7030A0"/>
                        <w:sz w:val="22"/>
                        <w:szCs w:val="22"/>
                      </w:rPr>
                    </w:pPr>
                    <w:r w:rsidRPr="00091A2B">
                      <w:rPr>
                        <w:rFonts w:ascii="Arial" w:hAnsi="Arial" w:cs="Arial"/>
                        <w:b/>
                        <w:color w:val="7030A0"/>
                        <w:sz w:val="22"/>
                        <w:szCs w:val="22"/>
                      </w:rPr>
                      <w:t>2017 ANNUAL RESEARCH REPORT</w:t>
                    </w:r>
                  </w:p>
                  <w:p w:rsidR="00F974C6" w:rsidRPr="00306550" w:rsidRDefault="00F974C6" w:rsidP="001E6BF4">
                    <w:pPr>
                      <w:jc w:val="center"/>
                      <w:rPr>
                        <w:rFonts w:ascii="Arial" w:hAnsi="Arial" w:cs="Arial"/>
                        <w:b/>
                        <w:color w:val="17365D"/>
                        <w:sz w:val="22"/>
                        <w:szCs w:val="22"/>
                      </w:rPr>
                    </w:pPr>
                    <w:bookmarkStart w:id="1" w:name="_GoBack"/>
                    <w:bookmarkEnd w:id="1"/>
                  </w:p>
                </w:txbxContent>
              </v:textbox>
            </v:shape>
          </w:pict>
        </mc:Fallback>
      </mc:AlternateContent>
    </w:r>
    <w:r w:rsidRPr="00E60509">
      <w:rPr>
        <w:rFonts w:ascii="Arial" w:hAnsi="Arial" w:cs="Arial"/>
        <w:b/>
        <w:smallCaps/>
        <w:noProof/>
        <w:color w:val="1F497D"/>
        <w:spacing w:val="5"/>
        <w:sz w:val="22"/>
        <w:szCs w:val="22"/>
        <w:lang w:eastAsia="en-US"/>
      </w:rPr>
      <w:drawing>
        <wp:inline distT="0" distB="0" distL="0" distR="0">
          <wp:extent cx="519430" cy="626745"/>
          <wp:effectExtent l="0" t="0" r="0" b="1905"/>
          <wp:docPr id="2" name="Picture 212" descr="JustM_pur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JustM_purpl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9430" cy="62674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48E" w:rsidRDefault="00F6148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B60E5B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B"/>
    <w:multiLevelType w:val="multilevel"/>
    <w:tmpl w:val="C18821DE"/>
    <w:lvl w:ilvl="0">
      <w:start w:val="1"/>
      <w:numFmt w:val="upperRoman"/>
      <w:pStyle w:val="Heading1"/>
      <w:lvlText w:val="%1."/>
      <w:legacy w:legacy="1" w:legacySpace="144" w:legacyIndent="144"/>
      <w:lvlJc w:val="left"/>
      <w:rPr>
        <w:rFonts w:cs="Times New Roman"/>
      </w:rPr>
    </w:lvl>
    <w:lvl w:ilvl="1">
      <w:start w:val="1"/>
      <w:numFmt w:val="upperLetter"/>
      <w:pStyle w:val="Heading2"/>
      <w:lvlText w:val="%2."/>
      <w:legacy w:legacy="1" w:legacySpace="144" w:legacyIndent="144"/>
      <w:lvlJc w:val="left"/>
      <w:rPr>
        <w:rFonts w:cs="Times New Roman"/>
      </w:rPr>
    </w:lvl>
    <w:lvl w:ilvl="2">
      <w:start w:val="1"/>
      <w:numFmt w:val="decimal"/>
      <w:pStyle w:val="Heading3"/>
      <w:lvlText w:val="%3)"/>
      <w:legacy w:legacy="1" w:legacySpace="144" w:legacyIndent="144"/>
      <w:lvlJc w:val="left"/>
      <w:rPr>
        <w:rFonts w:cs="Times New Roman"/>
      </w:rPr>
    </w:lvl>
    <w:lvl w:ilvl="3">
      <w:start w:val="1"/>
      <w:numFmt w:val="lowerLetter"/>
      <w:pStyle w:val="Heading4"/>
      <w:lvlText w:val="%4)"/>
      <w:legacy w:legacy="1" w:legacySpace="0" w:legacyIndent="720"/>
      <w:lvlJc w:val="left"/>
      <w:pPr>
        <w:ind w:left="1152" w:hanging="720"/>
      </w:pPr>
      <w:rPr>
        <w:rFonts w:cs="Times New Roman"/>
      </w:rPr>
    </w:lvl>
    <w:lvl w:ilvl="4">
      <w:start w:val="1"/>
      <w:numFmt w:val="decimal"/>
      <w:pStyle w:val="Heading5"/>
      <w:lvlText w:val="(%5)"/>
      <w:legacy w:legacy="1" w:legacySpace="0" w:legacyIndent="720"/>
      <w:lvlJc w:val="left"/>
      <w:pPr>
        <w:ind w:left="1872" w:hanging="720"/>
      </w:pPr>
      <w:rPr>
        <w:rFonts w:cs="Times New Roman"/>
      </w:rPr>
    </w:lvl>
    <w:lvl w:ilvl="5">
      <w:start w:val="1"/>
      <w:numFmt w:val="lowerLetter"/>
      <w:pStyle w:val="Heading6"/>
      <w:lvlText w:val="(%6)"/>
      <w:legacy w:legacy="1" w:legacySpace="0" w:legacyIndent="720"/>
      <w:lvlJc w:val="left"/>
      <w:pPr>
        <w:ind w:left="2592" w:hanging="720"/>
      </w:pPr>
      <w:rPr>
        <w:rFonts w:cs="Times New Roman"/>
      </w:rPr>
    </w:lvl>
    <w:lvl w:ilvl="6">
      <w:start w:val="1"/>
      <w:numFmt w:val="lowerRoman"/>
      <w:pStyle w:val="Heading7"/>
      <w:lvlText w:val="(%7)"/>
      <w:legacy w:legacy="1" w:legacySpace="0" w:legacyIndent="720"/>
      <w:lvlJc w:val="left"/>
      <w:pPr>
        <w:ind w:left="3312" w:hanging="720"/>
      </w:pPr>
      <w:rPr>
        <w:rFonts w:cs="Times New Roman"/>
      </w:rPr>
    </w:lvl>
    <w:lvl w:ilvl="7">
      <w:start w:val="1"/>
      <w:numFmt w:val="lowerLetter"/>
      <w:pStyle w:val="Heading8"/>
      <w:lvlText w:val="(%8)"/>
      <w:legacy w:legacy="1" w:legacySpace="0" w:legacyIndent="720"/>
      <w:lvlJc w:val="left"/>
      <w:pPr>
        <w:ind w:left="4032" w:hanging="720"/>
      </w:pPr>
      <w:rPr>
        <w:rFonts w:cs="Times New Roman"/>
      </w:rPr>
    </w:lvl>
    <w:lvl w:ilvl="8">
      <w:start w:val="1"/>
      <w:numFmt w:val="lowerRoman"/>
      <w:pStyle w:val="Heading9"/>
      <w:lvlText w:val="(%9)"/>
      <w:legacy w:legacy="1" w:legacySpace="0" w:legacyIndent="720"/>
      <w:lvlJc w:val="left"/>
      <w:pPr>
        <w:ind w:left="4752" w:hanging="720"/>
      </w:pPr>
      <w:rPr>
        <w:rFonts w:cs="Times New Roman"/>
      </w:rPr>
    </w:lvl>
  </w:abstractNum>
  <w:abstractNum w:abstractNumId="2">
    <w:nsid w:val="089A391B"/>
    <w:multiLevelType w:val="hybridMultilevel"/>
    <w:tmpl w:val="FE2A3B5A"/>
    <w:lvl w:ilvl="0" w:tplc="A9A0EA2A">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39B46E9"/>
    <w:multiLevelType w:val="hybridMultilevel"/>
    <w:tmpl w:val="850C7C04"/>
    <w:lvl w:ilvl="0" w:tplc="3800B754">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62D1F53"/>
    <w:multiLevelType w:val="hybridMultilevel"/>
    <w:tmpl w:val="B52A9AF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8FA1EEE"/>
    <w:multiLevelType w:val="multilevel"/>
    <w:tmpl w:val="83828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3A0CEE"/>
    <w:multiLevelType w:val="hybridMultilevel"/>
    <w:tmpl w:val="4FA857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6"/>
  </w:num>
  <w:num w:numId="3">
    <w:abstractNumId w:val="3"/>
  </w:num>
  <w:num w:numId="4">
    <w:abstractNumId w:val="2"/>
  </w:num>
  <w:num w:numId="5">
    <w:abstractNumId w:val="0"/>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2049" style="mso-width-relative:margin;mso-height-relative:margin" fillcolor="white" stroke="f">
      <v:fill color="white"/>
      <v:stroke on="f"/>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C19"/>
    <w:rsid w:val="00020C55"/>
    <w:rsid w:val="000558AC"/>
    <w:rsid w:val="000736B9"/>
    <w:rsid w:val="00085670"/>
    <w:rsid w:val="000A1716"/>
    <w:rsid w:val="000A59A8"/>
    <w:rsid w:val="000E1D4F"/>
    <w:rsid w:val="00104A4C"/>
    <w:rsid w:val="00113D92"/>
    <w:rsid w:val="00120180"/>
    <w:rsid w:val="0014131B"/>
    <w:rsid w:val="00141FE9"/>
    <w:rsid w:val="00155AD2"/>
    <w:rsid w:val="00167606"/>
    <w:rsid w:val="001836FA"/>
    <w:rsid w:val="0018419E"/>
    <w:rsid w:val="0018697C"/>
    <w:rsid w:val="00187023"/>
    <w:rsid w:val="001D59E4"/>
    <w:rsid w:val="001E526E"/>
    <w:rsid w:val="001E5ECF"/>
    <w:rsid w:val="001E6BF4"/>
    <w:rsid w:val="00231335"/>
    <w:rsid w:val="00233F11"/>
    <w:rsid w:val="00241739"/>
    <w:rsid w:val="002426D5"/>
    <w:rsid w:val="002524EE"/>
    <w:rsid w:val="00265A15"/>
    <w:rsid w:val="00290223"/>
    <w:rsid w:val="002C48AB"/>
    <w:rsid w:val="002C7675"/>
    <w:rsid w:val="00306550"/>
    <w:rsid w:val="00312C04"/>
    <w:rsid w:val="00334CEB"/>
    <w:rsid w:val="00350334"/>
    <w:rsid w:val="003560D2"/>
    <w:rsid w:val="00363C8F"/>
    <w:rsid w:val="00376D2C"/>
    <w:rsid w:val="00393065"/>
    <w:rsid w:val="003A1FF5"/>
    <w:rsid w:val="003C6493"/>
    <w:rsid w:val="003E2F8E"/>
    <w:rsid w:val="003F55A7"/>
    <w:rsid w:val="003F6E7E"/>
    <w:rsid w:val="00410D2C"/>
    <w:rsid w:val="00420894"/>
    <w:rsid w:val="00440665"/>
    <w:rsid w:val="00450C97"/>
    <w:rsid w:val="00486FF9"/>
    <w:rsid w:val="0049187D"/>
    <w:rsid w:val="00491C5D"/>
    <w:rsid w:val="004A227C"/>
    <w:rsid w:val="004F160B"/>
    <w:rsid w:val="005034C0"/>
    <w:rsid w:val="00511F7E"/>
    <w:rsid w:val="005173CE"/>
    <w:rsid w:val="0053142A"/>
    <w:rsid w:val="005452B9"/>
    <w:rsid w:val="00583BC3"/>
    <w:rsid w:val="005A1B84"/>
    <w:rsid w:val="005C076D"/>
    <w:rsid w:val="005C4422"/>
    <w:rsid w:val="005C4667"/>
    <w:rsid w:val="005C5648"/>
    <w:rsid w:val="00625028"/>
    <w:rsid w:val="00627F7D"/>
    <w:rsid w:val="006612DC"/>
    <w:rsid w:val="00672D41"/>
    <w:rsid w:val="006B3824"/>
    <w:rsid w:val="006C4440"/>
    <w:rsid w:val="006D745E"/>
    <w:rsid w:val="006E2CE0"/>
    <w:rsid w:val="006E4A9F"/>
    <w:rsid w:val="007108B4"/>
    <w:rsid w:val="007207FF"/>
    <w:rsid w:val="00731C19"/>
    <w:rsid w:val="00734E94"/>
    <w:rsid w:val="00764FB5"/>
    <w:rsid w:val="00774A49"/>
    <w:rsid w:val="007C0813"/>
    <w:rsid w:val="007D3105"/>
    <w:rsid w:val="007E2F28"/>
    <w:rsid w:val="007F4151"/>
    <w:rsid w:val="00862CB5"/>
    <w:rsid w:val="00883638"/>
    <w:rsid w:val="008A1D84"/>
    <w:rsid w:val="008B05B8"/>
    <w:rsid w:val="008B3433"/>
    <w:rsid w:val="008C5788"/>
    <w:rsid w:val="008E5BC5"/>
    <w:rsid w:val="008E5C85"/>
    <w:rsid w:val="008F35CC"/>
    <w:rsid w:val="008F6083"/>
    <w:rsid w:val="0096335D"/>
    <w:rsid w:val="009648AC"/>
    <w:rsid w:val="009A39F6"/>
    <w:rsid w:val="009A3F73"/>
    <w:rsid w:val="009B41B2"/>
    <w:rsid w:val="009B6B95"/>
    <w:rsid w:val="009C318D"/>
    <w:rsid w:val="009C3DF0"/>
    <w:rsid w:val="009C7F31"/>
    <w:rsid w:val="009D39A4"/>
    <w:rsid w:val="009E3901"/>
    <w:rsid w:val="009E4F1E"/>
    <w:rsid w:val="00A1227A"/>
    <w:rsid w:val="00A55035"/>
    <w:rsid w:val="00A73834"/>
    <w:rsid w:val="00A758E6"/>
    <w:rsid w:val="00A8089A"/>
    <w:rsid w:val="00A83D02"/>
    <w:rsid w:val="00A94FC4"/>
    <w:rsid w:val="00A97CB0"/>
    <w:rsid w:val="00AC297F"/>
    <w:rsid w:val="00AC4AFE"/>
    <w:rsid w:val="00AD27F1"/>
    <w:rsid w:val="00AD3CDD"/>
    <w:rsid w:val="00AD6D3C"/>
    <w:rsid w:val="00AE142B"/>
    <w:rsid w:val="00AF7C63"/>
    <w:rsid w:val="00B00CDB"/>
    <w:rsid w:val="00B05317"/>
    <w:rsid w:val="00B25D4D"/>
    <w:rsid w:val="00B45112"/>
    <w:rsid w:val="00B5585D"/>
    <w:rsid w:val="00B71405"/>
    <w:rsid w:val="00B75DC9"/>
    <w:rsid w:val="00B938F1"/>
    <w:rsid w:val="00B94321"/>
    <w:rsid w:val="00B95FCB"/>
    <w:rsid w:val="00B96080"/>
    <w:rsid w:val="00BA00BE"/>
    <w:rsid w:val="00BA7096"/>
    <w:rsid w:val="00BE2257"/>
    <w:rsid w:val="00C02989"/>
    <w:rsid w:val="00C076C7"/>
    <w:rsid w:val="00C13313"/>
    <w:rsid w:val="00C31797"/>
    <w:rsid w:val="00C75A17"/>
    <w:rsid w:val="00C81666"/>
    <w:rsid w:val="00C83434"/>
    <w:rsid w:val="00C83EAA"/>
    <w:rsid w:val="00C93F0D"/>
    <w:rsid w:val="00CA6625"/>
    <w:rsid w:val="00CB0819"/>
    <w:rsid w:val="00CB1A7C"/>
    <w:rsid w:val="00CB4058"/>
    <w:rsid w:val="00CC5B40"/>
    <w:rsid w:val="00CE3F90"/>
    <w:rsid w:val="00D01F6B"/>
    <w:rsid w:val="00D0313F"/>
    <w:rsid w:val="00D07879"/>
    <w:rsid w:val="00D1756D"/>
    <w:rsid w:val="00D65CBB"/>
    <w:rsid w:val="00D67B56"/>
    <w:rsid w:val="00D851F6"/>
    <w:rsid w:val="00DD44E5"/>
    <w:rsid w:val="00DE3216"/>
    <w:rsid w:val="00E04B24"/>
    <w:rsid w:val="00E07ED9"/>
    <w:rsid w:val="00E25473"/>
    <w:rsid w:val="00E411D1"/>
    <w:rsid w:val="00E43BB4"/>
    <w:rsid w:val="00E5095B"/>
    <w:rsid w:val="00E57E61"/>
    <w:rsid w:val="00E60509"/>
    <w:rsid w:val="00E67273"/>
    <w:rsid w:val="00E920A5"/>
    <w:rsid w:val="00EA1E33"/>
    <w:rsid w:val="00EB489A"/>
    <w:rsid w:val="00EB515D"/>
    <w:rsid w:val="00F23F2F"/>
    <w:rsid w:val="00F31351"/>
    <w:rsid w:val="00F31B06"/>
    <w:rsid w:val="00F43581"/>
    <w:rsid w:val="00F4530F"/>
    <w:rsid w:val="00F45B22"/>
    <w:rsid w:val="00F52E02"/>
    <w:rsid w:val="00F54466"/>
    <w:rsid w:val="00F6148E"/>
    <w:rsid w:val="00F8198A"/>
    <w:rsid w:val="00F908F6"/>
    <w:rsid w:val="00F935F1"/>
    <w:rsid w:val="00F95583"/>
    <w:rsid w:val="00F974C6"/>
    <w:rsid w:val="00FB4399"/>
    <w:rsid w:val="00FF1475"/>
    <w:rsid w:val="00FF58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style="mso-width-relative:margin;mso-height-relative:margin" fillcolor="white" stroke="f">
      <v:fill color="white"/>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9" w:unhideWhenUsed="0" w:qFormat="1"/>
    <w:lsdException w:name="heading 4" w:semiHidden="0" w:uiPriority="99" w:unhideWhenUsed="0" w:qFormat="1"/>
    <w:lsdException w:name="heading 5" w:semiHidden="0" w:uiPriority="99" w:unhideWhenUsed="0" w:qFormat="1"/>
    <w:lsdException w:name="heading 6" w:semiHidden="0" w:uiPriority="99" w:unhideWhenUsed="0" w:qFormat="1"/>
    <w:lsdException w:name="heading 7" w:uiPriority="99" w:qFormat="1"/>
    <w:lsdException w:name="heading 8" w:uiPriority="99" w:qFormat="1"/>
    <w:lsdException w:name="heading 9" w:uiPriority="99" w:qFormat="1"/>
    <w:lsdException w:name="footnote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ja-JP"/>
    </w:rPr>
  </w:style>
  <w:style w:type="paragraph" w:styleId="Heading1">
    <w:name w:val="heading 1"/>
    <w:basedOn w:val="Normal"/>
    <w:next w:val="Normal"/>
    <w:link w:val="Heading1Char"/>
    <w:uiPriority w:val="99"/>
    <w:qFormat/>
    <w:rsid w:val="00491C5D"/>
    <w:pPr>
      <w:keepNext/>
      <w:numPr>
        <w:numId w:val="7"/>
      </w:numPr>
      <w:spacing w:before="240" w:after="80"/>
      <w:jc w:val="center"/>
      <w:outlineLvl w:val="0"/>
    </w:pPr>
    <w:rPr>
      <w:rFonts w:eastAsia="Times New Roman"/>
      <w:smallCaps/>
      <w:kern w:val="28"/>
      <w:sz w:val="20"/>
      <w:szCs w:val="20"/>
      <w:lang w:val="x-none" w:eastAsia="x-none"/>
    </w:rPr>
  </w:style>
  <w:style w:type="paragraph" w:styleId="Heading2">
    <w:name w:val="heading 2"/>
    <w:basedOn w:val="Normal"/>
    <w:next w:val="Normal"/>
    <w:link w:val="Heading2Char"/>
    <w:uiPriority w:val="99"/>
    <w:qFormat/>
    <w:rsid w:val="00491C5D"/>
    <w:pPr>
      <w:keepNext/>
      <w:numPr>
        <w:ilvl w:val="1"/>
        <w:numId w:val="7"/>
      </w:numPr>
      <w:spacing w:before="120" w:after="60"/>
      <w:ind w:left="144"/>
      <w:outlineLvl w:val="1"/>
    </w:pPr>
    <w:rPr>
      <w:rFonts w:eastAsia="Times New Roman"/>
      <w:i/>
      <w:iCs/>
      <w:sz w:val="20"/>
      <w:szCs w:val="20"/>
      <w:lang w:val="x-none" w:eastAsia="x-none"/>
    </w:rPr>
  </w:style>
  <w:style w:type="paragraph" w:styleId="Heading3">
    <w:name w:val="heading 3"/>
    <w:basedOn w:val="Normal"/>
    <w:next w:val="Normal"/>
    <w:link w:val="Heading3Char"/>
    <w:uiPriority w:val="99"/>
    <w:qFormat/>
    <w:rsid w:val="00491C5D"/>
    <w:pPr>
      <w:keepNext/>
      <w:numPr>
        <w:ilvl w:val="2"/>
        <w:numId w:val="7"/>
      </w:numPr>
      <w:ind w:left="288"/>
      <w:outlineLvl w:val="2"/>
    </w:pPr>
    <w:rPr>
      <w:rFonts w:eastAsia="Times New Roman"/>
      <w:i/>
      <w:iCs/>
      <w:sz w:val="20"/>
      <w:szCs w:val="20"/>
      <w:lang w:val="x-none" w:eastAsia="x-none"/>
    </w:rPr>
  </w:style>
  <w:style w:type="paragraph" w:styleId="Heading4">
    <w:name w:val="heading 4"/>
    <w:basedOn w:val="Normal"/>
    <w:next w:val="Normal"/>
    <w:link w:val="Heading4Char"/>
    <w:uiPriority w:val="99"/>
    <w:qFormat/>
    <w:rsid w:val="00491C5D"/>
    <w:pPr>
      <w:keepNext/>
      <w:numPr>
        <w:ilvl w:val="3"/>
        <w:numId w:val="7"/>
      </w:numPr>
      <w:spacing w:before="240" w:after="60"/>
      <w:outlineLvl w:val="3"/>
    </w:pPr>
    <w:rPr>
      <w:rFonts w:eastAsia="Times New Roman"/>
      <w:i/>
      <w:iCs/>
      <w:sz w:val="18"/>
      <w:szCs w:val="18"/>
      <w:lang w:val="x-none" w:eastAsia="x-none"/>
    </w:rPr>
  </w:style>
  <w:style w:type="paragraph" w:styleId="Heading5">
    <w:name w:val="heading 5"/>
    <w:basedOn w:val="Normal"/>
    <w:next w:val="Normal"/>
    <w:link w:val="Heading5Char"/>
    <w:uiPriority w:val="99"/>
    <w:qFormat/>
    <w:rsid w:val="00491C5D"/>
    <w:pPr>
      <w:numPr>
        <w:ilvl w:val="4"/>
        <w:numId w:val="7"/>
      </w:numPr>
      <w:spacing w:before="240" w:after="60"/>
      <w:outlineLvl w:val="4"/>
    </w:pPr>
    <w:rPr>
      <w:rFonts w:eastAsia="Times New Roman"/>
      <w:sz w:val="18"/>
      <w:szCs w:val="18"/>
      <w:lang w:val="x-none" w:eastAsia="x-none"/>
    </w:rPr>
  </w:style>
  <w:style w:type="paragraph" w:styleId="Heading6">
    <w:name w:val="heading 6"/>
    <w:basedOn w:val="Normal"/>
    <w:next w:val="Normal"/>
    <w:link w:val="Heading6Char"/>
    <w:uiPriority w:val="99"/>
    <w:qFormat/>
    <w:rsid w:val="00491C5D"/>
    <w:pPr>
      <w:numPr>
        <w:ilvl w:val="5"/>
        <w:numId w:val="7"/>
      </w:numPr>
      <w:spacing w:before="240" w:after="60"/>
      <w:outlineLvl w:val="5"/>
    </w:pPr>
    <w:rPr>
      <w:rFonts w:eastAsia="Times New Roman"/>
      <w:i/>
      <w:iCs/>
      <w:sz w:val="16"/>
      <w:szCs w:val="16"/>
      <w:lang w:val="x-none" w:eastAsia="x-none"/>
    </w:rPr>
  </w:style>
  <w:style w:type="paragraph" w:styleId="Heading7">
    <w:name w:val="heading 7"/>
    <w:basedOn w:val="Normal"/>
    <w:next w:val="Normal"/>
    <w:link w:val="Heading7Char"/>
    <w:uiPriority w:val="99"/>
    <w:qFormat/>
    <w:rsid w:val="00491C5D"/>
    <w:pPr>
      <w:numPr>
        <w:ilvl w:val="6"/>
        <w:numId w:val="7"/>
      </w:numPr>
      <w:spacing w:before="240" w:after="60"/>
      <w:outlineLvl w:val="6"/>
    </w:pPr>
    <w:rPr>
      <w:rFonts w:eastAsia="Times New Roman"/>
      <w:sz w:val="16"/>
      <w:szCs w:val="16"/>
      <w:lang w:val="x-none" w:eastAsia="x-none"/>
    </w:rPr>
  </w:style>
  <w:style w:type="paragraph" w:styleId="Heading8">
    <w:name w:val="heading 8"/>
    <w:basedOn w:val="Normal"/>
    <w:next w:val="Normal"/>
    <w:link w:val="Heading8Char"/>
    <w:uiPriority w:val="99"/>
    <w:qFormat/>
    <w:rsid w:val="00491C5D"/>
    <w:pPr>
      <w:numPr>
        <w:ilvl w:val="7"/>
        <w:numId w:val="7"/>
      </w:numPr>
      <w:spacing w:before="240" w:after="60"/>
      <w:outlineLvl w:val="7"/>
    </w:pPr>
    <w:rPr>
      <w:rFonts w:eastAsia="Times New Roman"/>
      <w:i/>
      <w:iCs/>
      <w:sz w:val="16"/>
      <w:szCs w:val="16"/>
      <w:lang w:val="x-none" w:eastAsia="x-none"/>
    </w:rPr>
  </w:style>
  <w:style w:type="paragraph" w:styleId="Heading9">
    <w:name w:val="heading 9"/>
    <w:basedOn w:val="Normal"/>
    <w:next w:val="Normal"/>
    <w:link w:val="Heading9Char"/>
    <w:uiPriority w:val="99"/>
    <w:qFormat/>
    <w:rsid w:val="00491C5D"/>
    <w:pPr>
      <w:numPr>
        <w:ilvl w:val="8"/>
        <w:numId w:val="7"/>
      </w:numPr>
      <w:spacing w:before="240" w:after="60"/>
      <w:outlineLvl w:val="8"/>
    </w:pPr>
    <w:rPr>
      <w:rFonts w:eastAsia="Times New Roman"/>
      <w:sz w:val="16"/>
      <w:szCs w:val="1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5">
    <w:name w:val="Table Grid 5"/>
    <w:basedOn w:val="TableNormal"/>
    <w:rsid w:val="006D745E"/>
    <w:rPr>
      <w:rFonts w:ascii="Times" w:eastAsia="Times" w:hAnsi="Tim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rPr>
      <w:tblPr/>
      <w:tcPr>
        <w:shd w:val="clear" w:color="auto" w:fill="D9D9D9"/>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Header">
    <w:name w:val="header"/>
    <w:basedOn w:val="Normal"/>
    <w:rsid w:val="00A94FC4"/>
    <w:pPr>
      <w:tabs>
        <w:tab w:val="center" w:pos="4320"/>
        <w:tab w:val="right" w:pos="8640"/>
      </w:tabs>
    </w:pPr>
  </w:style>
  <w:style w:type="paragraph" w:styleId="Footer">
    <w:name w:val="footer"/>
    <w:basedOn w:val="Normal"/>
    <w:rsid w:val="00A94FC4"/>
    <w:pPr>
      <w:tabs>
        <w:tab w:val="center" w:pos="4320"/>
        <w:tab w:val="right" w:pos="8640"/>
      </w:tabs>
    </w:pPr>
  </w:style>
  <w:style w:type="paragraph" w:styleId="BalloonText">
    <w:name w:val="Balloon Text"/>
    <w:basedOn w:val="Normal"/>
    <w:semiHidden/>
    <w:rsid w:val="00CB1A7C"/>
    <w:rPr>
      <w:rFonts w:ascii="Tahoma" w:hAnsi="Tahoma" w:cs="Tahoma"/>
      <w:sz w:val="16"/>
      <w:szCs w:val="16"/>
    </w:rPr>
  </w:style>
  <w:style w:type="character" w:customStyle="1" w:styleId="BookTitle1">
    <w:name w:val="Book Title1"/>
    <w:uiPriority w:val="33"/>
    <w:qFormat/>
    <w:rsid w:val="00BA7096"/>
    <w:rPr>
      <w:b/>
      <w:bCs/>
      <w:smallCaps/>
      <w:spacing w:val="5"/>
    </w:rPr>
  </w:style>
  <w:style w:type="paragraph" w:customStyle="1" w:styleId="Authors">
    <w:name w:val="Authors"/>
    <w:basedOn w:val="Normal"/>
    <w:next w:val="Normal"/>
    <w:uiPriority w:val="99"/>
    <w:rsid w:val="00FB4399"/>
    <w:pPr>
      <w:jc w:val="center"/>
    </w:pPr>
    <w:rPr>
      <w:rFonts w:eastAsia="Times New Roman"/>
      <w:sz w:val="22"/>
      <w:szCs w:val="22"/>
      <w:lang w:eastAsia="en-US"/>
    </w:rPr>
  </w:style>
  <w:style w:type="table" w:styleId="TableGrid">
    <w:name w:val="Table Grid"/>
    <w:basedOn w:val="TableNormal"/>
    <w:rsid w:val="00491C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uiPriority w:val="99"/>
    <w:rsid w:val="00491C5D"/>
    <w:pPr>
      <w:jc w:val="center"/>
    </w:pPr>
    <w:rPr>
      <w:rFonts w:eastAsia="Times New Roman"/>
      <w:smallCaps/>
      <w:sz w:val="16"/>
      <w:szCs w:val="16"/>
      <w:lang w:eastAsia="en-US"/>
    </w:rPr>
  </w:style>
  <w:style w:type="character" w:customStyle="1" w:styleId="Heading1Char">
    <w:name w:val="Heading 1 Char"/>
    <w:link w:val="Heading1"/>
    <w:uiPriority w:val="99"/>
    <w:rsid w:val="00491C5D"/>
    <w:rPr>
      <w:rFonts w:eastAsia="Times New Roman"/>
      <w:smallCaps/>
      <w:kern w:val="28"/>
      <w:lang w:val="x-none" w:eastAsia="x-none"/>
    </w:rPr>
  </w:style>
  <w:style w:type="character" w:customStyle="1" w:styleId="Heading2Char">
    <w:name w:val="Heading 2 Char"/>
    <w:link w:val="Heading2"/>
    <w:uiPriority w:val="99"/>
    <w:rsid w:val="00491C5D"/>
    <w:rPr>
      <w:rFonts w:eastAsia="Times New Roman"/>
      <w:i/>
      <w:iCs/>
      <w:lang w:val="x-none" w:eastAsia="x-none"/>
    </w:rPr>
  </w:style>
  <w:style w:type="character" w:customStyle="1" w:styleId="Heading3Char">
    <w:name w:val="Heading 3 Char"/>
    <w:link w:val="Heading3"/>
    <w:uiPriority w:val="99"/>
    <w:rsid w:val="00491C5D"/>
    <w:rPr>
      <w:rFonts w:eastAsia="Times New Roman"/>
      <w:i/>
      <w:iCs/>
      <w:lang w:val="x-none" w:eastAsia="x-none"/>
    </w:rPr>
  </w:style>
  <w:style w:type="character" w:customStyle="1" w:styleId="Heading4Char">
    <w:name w:val="Heading 4 Char"/>
    <w:link w:val="Heading4"/>
    <w:uiPriority w:val="99"/>
    <w:rsid w:val="00491C5D"/>
    <w:rPr>
      <w:rFonts w:eastAsia="Times New Roman"/>
      <w:i/>
      <w:iCs/>
      <w:sz w:val="18"/>
      <w:szCs w:val="18"/>
      <w:lang w:val="x-none" w:eastAsia="x-none"/>
    </w:rPr>
  </w:style>
  <w:style w:type="character" w:customStyle="1" w:styleId="Heading5Char">
    <w:name w:val="Heading 5 Char"/>
    <w:link w:val="Heading5"/>
    <w:uiPriority w:val="99"/>
    <w:rsid w:val="00491C5D"/>
    <w:rPr>
      <w:rFonts w:eastAsia="Times New Roman"/>
      <w:sz w:val="18"/>
      <w:szCs w:val="18"/>
      <w:lang w:val="x-none" w:eastAsia="x-none"/>
    </w:rPr>
  </w:style>
  <w:style w:type="character" w:customStyle="1" w:styleId="Heading6Char">
    <w:name w:val="Heading 6 Char"/>
    <w:link w:val="Heading6"/>
    <w:uiPriority w:val="99"/>
    <w:rsid w:val="00491C5D"/>
    <w:rPr>
      <w:rFonts w:eastAsia="Times New Roman"/>
      <w:i/>
      <w:iCs/>
      <w:sz w:val="16"/>
      <w:szCs w:val="16"/>
      <w:lang w:val="x-none" w:eastAsia="x-none"/>
    </w:rPr>
  </w:style>
  <w:style w:type="character" w:customStyle="1" w:styleId="Heading7Char">
    <w:name w:val="Heading 7 Char"/>
    <w:link w:val="Heading7"/>
    <w:uiPriority w:val="99"/>
    <w:rsid w:val="00491C5D"/>
    <w:rPr>
      <w:rFonts w:eastAsia="Times New Roman"/>
      <w:sz w:val="16"/>
      <w:szCs w:val="16"/>
      <w:lang w:val="x-none" w:eastAsia="x-none"/>
    </w:rPr>
  </w:style>
  <w:style w:type="character" w:customStyle="1" w:styleId="Heading8Char">
    <w:name w:val="Heading 8 Char"/>
    <w:link w:val="Heading8"/>
    <w:uiPriority w:val="99"/>
    <w:rsid w:val="00491C5D"/>
    <w:rPr>
      <w:rFonts w:eastAsia="Times New Roman"/>
      <w:i/>
      <w:iCs/>
      <w:sz w:val="16"/>
      <w:szCs w:val="16"/>
      <w:lang w:val="x-none" w:eastAsia="x-none"/>
    </w:rPr>
  </w:style>
  <w:style w:type="character" w:customStyle="1" w:styleId="Heading9Char">
    <w:name w:val="Heading 9 Char"/>
    <w:link w:val="Heading9"/>
    <w:uiPriority w:val="99"/>
    <w:rsid w:val="00491C5D"/>
    <w:rPr>
      <w:rFonts w:eastAsia="Times New Roman"/>
      <w:sz w:val="16"/>
      <w:szCs w:val="16"/>
      <w:lang w:val="x-none" w:eastAsia="x-none"/>
    </w:rPr>
  </w:style>
  <w:style w:type="paragraph" w:styleId="FootnoteText">
    <w:name w:val="footnote text"/>
    <w:basedOn w:val="Normal"/>
    <w:link w:val="FootnoteTextChar"/>
    <w:uiPriority w:val="99"/>
    <w:rsid w:val="00491C5D"/>
    <w:pPr>
      <w:ind w:firstLine="202"/>
      <w:jc w:val="both"/>
    </w:pPr>
    <w:rPr>
      <w:rFonts w:eastAsia="Times New Roman"/>
      <w:sz w:val="16"/>
      <w:szCs w:val="16"/>
      <w:lang w:val="x-none" w:eastAsia="x-none"/>
    </w:rPr>
  </w:style>
  <w:style w:type="character" w:customStyle="1" w:styleId="FootnoteTextChar">
    <w:name w:val="Footnote Text Char"/>
    <w:link w:val="FootnoteText"/>
    <w:uiPriority w:val="99"/>
    <w:rsid w:val="00491C5D"/>
    <w:rPr>
      <w:rFonts w:eastAsia="Times New Roman"/>
      <w:sz w:val="16"/>
      <w:szCs w:val="16"/>
      <w:lang w:val="x-none" w:eastAsia="x-none"/>
    </w:rPr>
  </w:style>
  <w:style w:type="paragraph" w:customStyle="1" w:styleId="Default">
    <w:name w:val="Default"/>
    <w:rsid w:val="0096335D"/>
    <w:pPr>
      <w:autoSpaceDE w:val="0"/>
      <w:autoSpaceDN w:val="0"/>
      <w:adjustRightInd w:val="0"/>
    </w:pPr>
    <w:rPr>
      <w:color w:val="000000"/>
      <w:sz w:val="24"/>
      <w:szCs w:val="24"/>
    </w:rPr>
  </w:style>
  <w:style w:type="character" w:customStyle="1" w:styleId="apple-converted-space">
    <w:name w:val="apple-converted-space"/>
    <w:rsid w:val="009633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9" w:unhideWhenUsed="0" w:qFormat="1"/>
    <w:lsdException w:name="heading 4" w:semiHidden="0" w:uiPriority="99" w:unhideWhenUsed="0" w:qFormat="1"/>
    <w:lsdException w:name="heading 5" w:semiHidden="0" w:uiPriority="99" w:unhideWhenUsed="0" w:qFormat="1"/>
    <w:lsdException w:name="heading 6" w:semiHidden="0" w:uiPriority="99" w:unhideWhenUsed="0" w:qFormat="1"/>
    <w:lsdException w:name="heading 7" w:uiPriority="99" w:qFormat="1"/>
    <w:lsdException w:name="heading 8" w:uiPriority="99" w:qFormat="1"/>
    <w:lsdException w:name="heading 9" w:uiPriority="99" w:qFormat="1"/>
    <w:lsdException w:name="footnote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ja-JP"/>
    </w:rPr>
  </w:style>
  <w:style w:type="paragraph" w:styleId="Heading1">
    <w:name w:val="heading 1"/>
    <w:basedOn w:val="Normal"/>
    <w:next w:val="Normal"/>
    <w:link w:val="Heading1Char"/>
    <w:uiPriority w:val="99"/>
    <w:qFormat/>
    <w:rsid w:val="00491C5D"/>
    <w:pPr>
      <w:keepNext/>
      <w:numPr>
        <w:numId w:val="7"/>
      </w:numPr>
      <w:spacing w:before="240" w:after="80"/>
      <w:jc w:val="center"/>
      <w:outlineLvl w:val="0"/>
    </w:pPr>
    <w:rPr>
      <w:rFonts w:eastAsia="Times New Roman"/>
      <w:smallCaps/>
      <w:kern w:val="28"/>
      <w:sz w:val="20"/>
      <w:szCs w:val="20"/>
      <w:lang w:val="x-none" w:eastAsia="x-none"/>
    </w:rPr>
  </w:style>
  <w:style w:type="paragraph" w:styleId="Heading2">
    <w:name w:val="heading 2"/>
    <w:basedOn w:val="Normal"/>
    <w:next w:val="Normal"/>
    <w:link w:val="Heading2Char"/>
    <w:uiPriority w:val="99"/>
    <w:qFormat/>
    <w:rsid w:val="00491C5D"/>
    <w:pPr>
      <w:keepNext/>
      <w:numPr>
        <w:ilvl w:val="1"/>
        <w:numId w:val="7"/>
      </w:numPr>
      <w:spacing w:before="120" w:after="60"/>
      <w:ind w:left="144"/>
      <w:outlineLvl w:val="1"/>
    </w:pPr>
    <w:rPr>
      <w:rFonts w:eastAsia="Times New Roman"/>
      <w:i/>
      <w:iCs/>
      <w:sz w:val="20"/>
      <w:szCs w:val="20"/>
      <w:lang w:val="x-none" w:eastAsia="x-none"/>
    </w:rPr>
  </w:style>
  <w:style w:type="paragraph" w:styleId="Heading3">
    <w:name w:val="heading 3"/>
    <w:basedOn w:val="Normal"/>
    <w:next w:val="Normal"/>
    <w:link w:val="Heading3Char"/>
    <w:uiPriority w:val="99"/>
    <w:qFormat/>
    <w:rsid w:val="00491C5D"/>
    <w:pPr>
      <w:keepNext/>
      <w:numPr>
        <w:ilvl w:val="2"/>
        <w:numId w:val="7"/>
      </w:numPr>
      <w:ind w:left="288"/>
      <w:outlineLvl w:val="2"/>
    </w:pPr>
    <w:rPr>
      <w:rFonts w:eastAsia="Times New Roman"/>
      <w:i/>
      <w:iCs/>
      <w:sz w:val="20"/>
      <w:szCs w:val="20"/>
      <w:lang w:val="x-none" w:eastAsia="x-none"/>
    </w:rPr>
  </w:style>
  <w:style w:type="paragraph" w:styleId="Heading4">
    <w:name w:val="heading 4"/>
    <w:basedOn w:val="Normal"/>
    <w:next w:val="Normal"/>
    <w:link w:val="Heading4Char"/>
    <w:uiPriority w:val="99"/>
    <w:qFormat/>
    <w:rsid w:val="00491C5D"/>
    <w:pPr>
      <w:keepNext/>
      <w:numPr>
        <w:ilvl w:val="3"/>
        <w:numId w:val="7"/>
      </w:numPr>
      <w:spacing w:before="240" w:after="60"/>
      <w:outlineLvl w:val="3"/>
    </w:pPr>
    <w:rPr>
      <w:rFonts w:eastAsia="Times New Roman"/>
      <w:i/>
      <w:iCs/>
      <w:sz w:val="18"/>
      <w:szCs w:val="18"/>
      <w:lang w:val="x-none" w:eastAsia="x-none"/>
    </w:rPr>
  </w:style>
  <w:style w:type="paragraph" w:styleId="Heading5">
    <w:name w:val="heading 5"/>
    <w:basedOn w:val="Normal"/>
    <w:next w:val="Normal"/>
    <w:link w:val="Heading5Char"/>
    <w:uiPriority w:val="99"/>
    <w:qFormat/>
    <w:rsid w:val="00491C5D"/>
    <w:pPr>
      <w:numPr>
        <w:ilvl w:val="4"/>
        <w:numId w:val="7"/>
      </w:numPr>
      <w:spacing w:before="240" w:after="60"/>
      <w:outlineLvl w:val="4"/>
    </w:pPr>
    <w:rPr>
      <w:rFonts w:eastAsia="Times New Roman"/>
      <w:sz w:val="18"/>
      <w:szCs w:val="18"/>
      <w:lang w:val="x-none" w:eastAsia="x-none"/>
    </w:rPr>
  </w:style>
  <w:style w:type="paragraph" w:styleId="Heading6">
    <w:name w:val="heading 6"/>
    <w:basedOn w:val="Normal"/>
    <w:next w:val="Normal"/>
    <w:link w:val="Heading6Char"/>
    <w:uiPriority w:val="99"/>
    <w:qFormat/>
    <w:rsid w:val="00491C5D"/>
    <w:pPr>
      <w:numPr>
        <w:ilvl w:val="5"/>
        <w:numId w:val="7"/>
      </w:numPr>
      <w:spacing w:before="240" w:after="60"/>
      <w:outlineLvl w:val="5"/>
    </w:pPr>
    <w:rPr>
      <w:rFonts w:eastAsia="Times New Roman"/>
      <w:i/>
      <w:iCs/>
      <w:sz w:val="16"/>
      <w:szCs w:val="16"/>
      <w:lang w:val="x-none" w:eastAsia="x-none"/>
    </w:rPr>
  </w:style>
  <w:style w:type="paragraph" w:styleId="Heading7">
    <w:name w:val="heading 7"/>
    <w:basedOn w:val="Normal"/>
    <w:next w:val="Normal"/>
    <w:link w:val="Heading7Char"/>
    <w:uiPriority w:val="99"/>
    <w:qFormat/>
    <w:rsid w:val="00491C5D"/>
    <w:pPr>
      <w:numPr>
        <w:ilvl w:val="6"/>
        <w:numId w:val="7"/>
      </w:numPr>
      <w:spacing w:before="240" w:after="60"/>
      <w:outlineLvl w:val="6"/>
    </w:pPr>
    <w:rPr>
      <w:rFonts w:eastAsia="Times New Roman"/>
      <w:sz w:val="16"/>
      <w:szCs w:val="16"/>
      <w:lang w:val="x-none" w:eastAsia="x-none"/>
    </w:rPr>
  </w:style>
  <w:style w:type="paragraph" w:styleId="Heading8">
    <w:name w:val="heading 8"/>
    <w:basedOn w:val="Normal"/>
    <w:next w:val="Normal"/>
    <w:link w:val="Heading8Char"/>
    <w:uiPriority w:val="99"/>
    <w:qFormat/>
    <w:rsid w:val="00491C5D"/>
    <w:pPr>
      <w:numPr>
        <w:ilvl w:val="7"/>
        <w:numId w:val="7"/>
      </w:numPr>
      <w:spacing w:before="240" w:after="60"/>
      <w:outlineLvl w:val="7"/>
    </w:pPr>
    <w:rPr>
      <w:rFonts w:eastAsia="Times New Roman"/>
      <w:i/>
      <w:iCs/>
      <w:sz w:val="16"/>
      <w:szCs w:val="16"/>
      <w:lang w:val="x-none" w:eastAsia="x-none"/>
    </w:rPr>
  </w:style>
  <w:style w:type="paragraph" w:styleId="Heading9">
    <w:name w:val="heading 9"/>
    <w:basedOn w:val="Normal"/>
    <w:next w:val="Normal"/>
    <w:link w:val="Heading9Char"/>
    <w:uiPriority w:val="99"/>
    <w:qFormat/>
    <w:rsid w:val="00491C5D"/>
    <w:pPr>
      <w:numPr>
        <w:ilvl w:val="8"/>
        <w:numId w:val="7"/>
      </w:numPr>
      <w:spacing w:before="240" w:after="60"/>
      <w:outlineLvl w:val="8"/>
    </w:pPr>
    <w:rPr>
      <w:rFonts w:eastAsia="Times New Roman"/>
      <w:sz w:val="16"/>
      <w:szCs w:val="1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5">
    <w:name w:val="Table Grid 5"/>
    <w:basedOn w:val="TableNormal"/>
    <w:rsid w:val="006D745E"/>
    <w:rPr>
      <w:rFonts w:ascii="Times" w:eastAsia="Times" w:hAnsi="Tim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rPr>
      <w:tblPr/>
      <w:tcPr>
        <w:shd w:val="clear" w:color="auto" w:fill="D9D9D9"/>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Header">
    <w:name w:val="header"/>
    <w:basedOn w:val="Normal"/>
    <w:rsid w:val="00A94FC4"/>
    <w:pPr>
      <w:tabs>
        <w:tab w:val="center" w:pos="4320"/>
        <w:tab w:val="right" w:pos="8640"/>
      </w:tabs>
    </w:pPr>
  </w:style>
  <w:style w:type="paragraph" w:styleId="Footer">
    <w:name w:val="footer"/>
    <w:basedOn w:val="Normal"/>
    <w:rsid w:val="00A94FC4"/>
    <w:pPr>
      <w:tabs>
        <w:tab w:val="center" w:pos="4320"/>
        <w:tab w:val="right" w:pos="8640"/>
      </w:tabs>
    </w:pPr>
  </w:style>
  <w:style w:type="paragraph" w:styleId="BalloonText">
    <w:name w:val="Balloon Text"/>
    <w:basedOn w:val="Normal"/>
    <w:semiHidden/>
    <w:rsid w:val="00CB1A7C"/>
    <w:rPr>
      <w:rFonts w:ascii="Tahoma" w:hAnsi="Tahoma" w:cs="Tahoma"/>
      <w:sz w:val="16"/>
      <w:szCs w:val="16"/>
    </w:rPr>
  </w:style>
  <w:style w:type="character" w:customStyle="1" w:styleId="BookTitle1">
    <w:name w:val="Book Title1"/>
    <w:uiPriority w:val="33"/>
    <w:qFormat/>
    <w:rsid w:val="00BA7096"/>
    <w:rPr>
      <w:b/>
      <w:bCs/>
      <w:smallCaps/>
      <w:spacing w:val="5"/>
    </w:rPr>
  </w:style>
  <w:style w:type="paragraph" w:customStyle="1" w:styleId="Authors">
    <w:name w:val="Authors"/>
    <w:basedOn w:val="Normal"/>
    <w:next w:val="Normal"/>
    <w:uiPriority w:val="99"/>
    <w:rsid w:val="00FB4399"/>
    <w:pPr>
      <w:jc w:val="center"/>
    </w:pPr>
    <w:rPr>
      <w:rFonts w:eastAsia="Times New Roman"/>
      <w:sz w:val="22"/>
      <w:szCs w:val="22"/>
      <w:lang w:eastAsia="en-US"/>
    </w:rPr>
  </w:style>
  <w:style w:type="table" w:styleId="TableGrid">
    <w:name w:val="Table Grid"/>
    <w:basedOn w:val="TableNormal"/>
    <w:rsid w:val="00491C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uiPriority w:val="99"/>
    <w:rsid w:val="00491C5D"/>
    <w:pPr>
      <w:jc w:val="center"/>
    </w:pPr>
    <w:rPr>
      <w:rFonts w:eastAsia="Times New Roman"/>
      <w:smallCaps/>
      <w:sz w:val="16"/>
      <w:szCs w:val="16"/>
      <w:lang w:eastAsia="en-US"/>
    </w:rPr>
  </w:style>
  <w:style w:type="character" w:customStyle="1" w:styleId="Heading1Char">
    <w:name w:val="Heading 1 Char"/>
    <w:link w:val="Heading1"/>
    <w:uiPriority w:val="99"/>
    <w:rsid w:val="00491C5D"/>
    <w:rPr>
      <w:rFonts w:eastAsia="Times New Roman"/>
      <w:smallCaps/>
      <w:kern w:val="28"/>
      <w:lang w:val="x-none" w:eastAsia="x-none"/>
    </w:rPr>
  </w:style>
  <w:style w:type="character" w:customStyle="1" w:styleId="Heading2Char">
    <w:name w:val="Heading 2 Char"/>
    <w:link w:val="Heading2"/>
    <w:uiPriority w:val="99"/>
    <w:rsid w:val="00491C5D"/>
    <w:rPr>
      <w:rFonts w:eastAsia="Times New Roman"/>
      <w:i/>
      <w:iCs/>
      <w:lang w:val="x-none" w:eastAsia="x-none"/>
    </w:rPr>
  </w:style>
  <w:style w:type="character" w:customStyle="1" w:styleId="Heading3Char">
    <w:name w:val="Heading 3 Char"/>
    <w:link w:val="Heading3"/>
    <w:uiPriority w:val="99"/>
    <w:rsid w:val="00491C5D"/>
    <w:rPr>
      <w:rFonts w:eastAsia="Times New Roman"/>
      <w:i/>
      <w:iCs/>
      <w:lang w:val="x-none" w:eastAsia="x-none"/>
    </w:rPr>
  </w:style>
  <w:style w:type="character" w:customStyle="1" w:styleId="Heading4Char">
    <w:name w:val="Heading 4 Char"/>
    <w:link w:val="Heading4"/>
    <w:uiPriority w:val="99"/>
    <w:rsid w:val="00491C5D"/>
    <w:rPr>
      <w:rFonts w:eastAsia="Times New Roman"/>
      <w:i/>
      <w:iCs/>
      <w:sz w:val="18"/>
      <w:szCs w:val="18"/>
      <w:lang w:val="x-none" w:eastAsia="x-none"/>
    </w:rPr>
  </w:style>
  <w:style w:type="character" w:customStyle="1" w:styleId="Heading5Char">
    <w:name w:val="Heading 5 Char"/>
    <w:link w:val="Heading5"/>
    <w:uiPriority w:val="99"/>
    <w:rsid w:val="00491C5D"/>
    <w:rPr>
      <w:rFonts w:eastAsia="Times New Roman"/>
      <w:sz w:val="18"/>
      <w:szCs w:val="18"/>
      <w:lang w:val="x-none" w:eastAsia="x-none"/>
    </w:rPr>
  </w:style>
  <w:style w:type="character" w:customStyle="1" w:styleId="Heading6Char">
    <w:name w:val="Heading 6 Char"/>
    <w:link w:val="Heading6"/>
    <w:uiPriority w:val="99"/>
    <w:rsid w:val="00491C5D"/>
    <w:rPr>
      <w:rFonts w:eastAsia="Times New Roman"/>
      <w:i/>
      <w:iCs/>
      <w:sz w:val="16"/>
      <w:szCs w:val="16"/>
      <w:lang w:val="x-none" w:eastAsia="x-none"/>
    </w:rPr>
  </w:style>
  <w:style w:type="character" w:customStyle="1" w:styleId="Heading7Char">
    <w:name w:val="Heading 7 Char"/>
    <w:link w:val="Heading7"/>
    <w:uiPriority w:val="99"/>
    <w:rsid w:val="00491C5D"/>
    <w:rPr>
      <w:rFonts w:eastAsia="Times New Roman"/>
      <w:sz w:val="16"/>
      <w:szCs w:val="16"/>
      <w:lang w:val="x-none" w:eastAsia="x-none"/>
    </w:rPr>
  </w:style>
  <w:style w:type="character" w:customStyle="1" w:styleId="Heading8Char">
    <w:name w:val="Heading 8 Char"/>
    <w:link w:val="Heading8"/>
    <w:uiPriority w:val="99"/>
    <w:rsid w:val="00491C5D"/>
    <w:rPr>
      <w:rFonts w:eastAsia="Times New Roman"/>
      <w:i/>
      <w:iCs/>
      <w:sz w:val="16"/>
      <w:szCs w:val="16"/>
      <w:lang w:val="x-none" w:eastAsia="x-none"/>
    </w:rPr>
  </w:style>
  <w:style w:type="character" w:customStyle="1" w:styleId="Heading9Char">
    <w:name w:val="Heading 9 Char"/>
    <w:link w:val="Heading9"/>
    <w:uiPriority w:val="99"/>
    <w:rsid w:val="00491C5D"/>
    <w:rPr>
      <w:rFonts w:eastAsia="Times New Roman"/>
      <w:sz w:val="16"/>
      <w:szCs w:val="16"/>
      <w:lang w:val="x-none" w:eastAsia="x-none"/>
    </w:rPr>
  </w:style>
  <w:style w:type="paragraph" w:styleId="FootnoteText">
    <w:name w:val="footnote text"/>
    <w:basedOn w:val="Normal"/>
    <w:link w:val="FootnoteTextChar"/>
    <w:uiPriority w:val="99"/>
    <w:rsid w:val="00491C5D"/>
    <w:pPr>
      <w:ind w:firstLine="202"/>
      <w:jc w:val="both"/>
    </w:pPr>
    <w:rPr>
      <w:rFonts w:eastAsia="Times New Roman"/>
      <w:sz w:val="16"/>
      <w:szCs w:val="16"/>
      <w:lang w:val="x-none" w:eastAsia="x-none"/>
    </w:rPr>
  </w:style>
  <w:style w:type="character" w:customStyle="1" w:styleId="FootnoteTextChar">
    <w:name w:val="Footnote Text Char"/>
    <w:link w:val="FootnoteText"/>
    <w:uiPriority w:val="99"/>
    <w:rsid w:val="00491C5D"/>
    <w:rPr>
      <w:rFonts w:eastAsia="Times New Roman"/>
      <w:sz w:val="16"/>
      <w:szCs w:val="16"/>
      <w:lang w:val="x-none" w:eastAsia="x-none"/>
    </w:rPr>
  </w:style>
  <w:style w:type="paragraph" w:customStyle="1" w:styleId="Default">
    <w:name w:val="Default"/>
    <w:rsid w:val="0096335D"/>
    <w:pPr>
      <w:autoSpaceDE w:val="0"/>
      <w:autoSpaceDN w:val="0"/>
      <w:adjustRightInd w:val="0"/>
    </w:pPr>
    <w:rPr>
      <w:color w:val="000000"/>
      <w:sz w:val="24"/>
      <w:szCs w:val="24"/>
    </w:rPr>
  </w:style>
  <w:style w:type="character" w:customStyle="1" w:styleId="apple-converted-space">
    <w:name w:val="apple-converted-space"/>
    <w:rsid w:val="009633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3995074">
      <w:bodyDiv w:val="1"/>
      <w:marLeft w:val="0"/>
      <w:marRight w:val="0"/>
      <w:marTop w:val="0"/>
      <w:marBottom w:val="0"/>
      <w:divBdr>
        <w:top w:val="none" w:sz="0" w:space="0" w:color="auto"/>
        <w:left w:val="none" w:sz="0" w:space="0" w:color="auto"/>
        <w:bottom w:val="none" w:sz="0" w:space="0" w:color="auto"/>
        <w:right w:val="none" w:sz="0" w:space="0" w:color="auto"/>
      </w:divBdr>
      <w:divsChild>
        <w:div w:id="183373938">
          <w:marLeft w:val="0"/>
          <w:marRight w:val="0"/>
          <w:marTop w:val="0"/>
          <w:marBottom w:val="0"/>
          <w:divBdr>
            <w:top w:val="none" w:sz="0" w:space="0" w:color="auto"/>
            <w:left w:val="none" w:sz="0" w:space="0" w:color="auto"/>
            <w:bottom w:val="none" w:sz="0" w:space="0" w:color="auto"/>
            <w:right w:val="none" w:sz="0" w:space="0" w:color="auto"/>
          </w:divBdr>
          <w:divsChild>
            <w:div w:id="419758377">
              <w:marLeft w:val="0"/>
              <w:marRight w:val="0"/>
              <w:marTop w:val="0"/>
              <w:marBottom w:val="0"/>
              <w:divBdr>
                <w:top w:val="none" w:sz="0" w:space="0" w:color="auto"/>
                <w:left w:val="none" w:sz="0" w:space="0" w:color="auto"/>
                <w:bottom w:val="none" w:sz="0" w:space="0" w:color="auto"/>
                <w:right w:val="none" w:sz="0" w:space="0" w:color="auto"/>
              </w:divBdr>
              <w:divsChild>
                <w:div w:id="2037852817">
                  <w:marLeft w:val="0"/>
                  <w:marRight w:val="0"/>
                  <w:marTop w:val="0"/>
                  <w:marBottom w:val="0"/>
                  <w:divBdr>
                    <w:top w:val="none" w:sz="0" w:space="0" w:color="auto"/>
                    <w:left w:val="none" w:sz="0" w:space="0" w:color="auto"/>
                    <w:bottom w:val="none" w:sz="0" w:space="0" w:color="auto"/>
                    <w:right w:val="none" w:sz="0" w:space="0" w:color="auto"/>
                  </w:divBdr>
                  <w:divsChild>
                    <w:div w:id="1667439851">
                      <w:marLeft w:val="0"/>
                      <w:marRight w:val="0"/>
                      <w:marTop w:val="0"/>
                      <w:marBottom w:val="0"/>
                      <w:divBdr>
                        <w:top w:val="none" w:sz="0" w:space="0" w:color="auto"/>
                        <w:left w:val="none" w:sz="0" w:space="0" w:color="auto"/>
                        <w:bottom w:val="none" w:sz="0" w:space="0" w:color="auto"/>
                        <w:right w:val="none" w:sz="0" w:space="0" w:color="auto"/>
                      </w:divBdr>
                      <w:divsChild>
                        <w:div w:id="650132720">
                          <w:marLeft w:val="0"/>
                          <w:marRight w:val="0"/>
                          <w:marTop w:val="0"/>
                          <w:marBottom w:val="0"/>
                          <w:divBdr>
                            <w:top w:val="none" w:sz="0" w:space="0" w:color="auto"/>
                            <w:left w:val="none" w:sz="0" w:space="0" w:color="auto"/>
                            <w:bottom w:val="none" w:sz="0" w:space="0" w:color="auto"/>
                            <w:right w:val="none" w:sz="0" w:space="0" w:color="auto"/>
                          </w:divBdr>
                          <w:divsChild>
                            <w:div w:id="873032043">
                              <w:marLeft w:val="0"/>
                              <w:marRight w:val="0"/>
                              <w:marTop w:val="0"/>
                              <w:marBottom w:val="0"/>
                              <w:divBdr>
                                <w:top w:val="none" w:sz="0" w:space="0" w:color="auto"/>
                                <w:left w:val="none" w:sz="0" w:space="0" w:color="auto"/>
                                <w:bottom w:val="none" w:sz="0" w:space="0" w:color="auto"/>
                                <w:right w:val="none" w:sz="0" w:space="0" w:color="auto"/>
                              </w:divBdr>
                              <w:divsChild>
                                <w:div w:id="1388069214">
                                  <w:marLeft w:val="0"/>
                                  <w:marRight w:val="0"/>
                                  <w:marTop w:val="0"/>
                                  <w:marBottom w:val="0"/>
                                  <w:divBdr>
                                    <w:top w:val="none" w:sz="0" w:space="0" w:color="auto"/>
                                    <w:left w:val="none" w:sz="0" w:space="0" w:color="auto"/>
                                    <w:bottom w:val="none" w:sz="0" w:space="0" w:color="auto"/>
                                    <w:right w:val="none" w:sz="0" w:space="0" w:color="auto"/>
                                  </w:divBdr>
                                  <w:divsChild>
                                    <w:div w:id="1141314907">
                                      <w:marLeft w:val="0"/>
                                      <w:marRight w:val="0"/>
                                      <w:marTop w:val="0"/>
                                      <w:marBottom w:val="0"/>
                                      <w:divBdr>
                                        <w:top w:val="none" w:sz="0" w:space="0" w:color="auto"/>
                                        <w:left w:val="none" w:sz="0" w:space="0" w:color="auto"/>
                                        <w:bottom w:val="none" w:sz="0" w:space="0" w:color="auto"/>
                                        <w:right w:val="none" w:sz="0" w:space="0" w:color="auto"/>
                                      </w:divBdr>
                                      <w:divsChild>
                                        <w:div w:id="1833569609">
                                          <w:marLeft w:val="0"/>
                                          <w:marRight w:val="0"/>
                                          <w:marTop w:val="0"/>
                                          <w:marBottom w:val="0"/>
                                          <w:divBdr>
                                            <w:top w:val="none" w:sz="0" w:space="0" w:color="auto"/>
                                            <w:left w:val="none" w:sz="0" w:space="0" w:color="auto"/>
                                            <w:bottom w:val="none" w:sz="0" w:space="0" w:color="auto"/>
                                            <w:right w:val="none" w:sz="0" w:space="0" w:color="auto"/>
                                          </w:divBdr>
                                          <w:divsChild>
                                            <w:div w:id="1733624698">
                                              <w:marLeft w:val="0"/>
                                              <w:marRight w:val="0"/>
                                              <w:marTop w:val="0"/>
                                              <w:marBottom w:val="0"/>
                                              <w:divBdr>
                                                <w:top w:val="none" w:sz="0" w:space="0" w:color="auto"/>
                                                <w:left w:val="none" w:sz="0" w:space="0" w:color="auto"/>
                                                <w:bottom w:val="none" w:sz="0" w:space="0" w:color="auto"/>
                                                <w:right w:val="none" w:sz="0" w:space="0" w:color="auto"/>
                                              </w:divBdr>
                                              <w:divsChild>
                                                <w:div w:id="292250960">
                                                  <w:marLeft w:val="0"/>
                                                  <w:marRight w:val="0"/>
                                                  <w:marTop w:val="0"/>
                                                  <w:marBottom w:val="0"/>
                                                  <w:divBdr>
                                                    <w:top w:val="none" w:sz="0" w:space="0" w:color="auto"/>
                                                    <w:left w:val="none" w:sz="0" w:space="0" w:color="auto"/>
                                                    <w:bottom w:val="none" w:sz="0" w:space="0" w:color="auto"/>
                                                    <w:right w:val="none" w:sz="0" w:space="0" w:color="auto"/>
                                                  </w:divBdr>
                                                  <w:divsChild>
                                                    <w:div w:id="980111403">
                                                      <w:marLeft w:val="0"/>
                                                      <w:marRight w:val="0"/>
                                                      <w:marTop w:val="0"/>
                                                      <w:marBottom w:val="0"/>
                                                      <w:divBdr>
                                                        <w:top w:val="none" w:sz="0" w:space="0" w:color="auto"/>
                                                        <w:left w:val="none" w:sz="0" w:space="0" w:color="auto"/>
                                                        <w:bottom w:val="none" w:sz="0" w:space="0" w:color="auto"/>
                                                        <w:right w:val="none" w:sz="0" w:space="0" w:color="auto"/>
                                                      </w:divBdr>
                                                      <w:divsChild>
                                                        <w:div w:id="2022319111">
                                                          <w:marLeft w:val="0"/>
                                                          <w:marRight w:val="0"/>
                                                          <w:marTop w:val="0"/>
                                                          <w:marBottom w:val="0"/>
                                                          <w:divBdr>
                                                            <w:top w:val="none" w:sz="0" w:space="0" w:color="auto"/>
                                                            <w:left w:val="none" w:sz="0" w:space="0" w:color="auto"/>
                                                            <w:bottom w:val="none" w:sz="0" w:space="0" w:color="auto"/>
                                                            <w:right w:val="none" w:sz="0" w:space="0" w:color="auto"/>
                                                          </w:divBdr>
                                                          <w:divsChild>
                                                            <w:div w:id="152640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emf"/><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toth\AppData\Local\Microsoft\Windows\Temporary%20Internet%20Files\Content.Outlook\IIDJZ9OD\141015%202014-Research%20Report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2C644643969264883FBBDDE284BCE88" ma:contentTypeVersion="0" ma:contentTypeDescription="Create a new document." ma:contentTypeScope="" ma:versionID="f9f072c2bf7ffe07f2236eeac41fd8c6">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CEA0E05-EEB0-4C56-8477-905C947F8A0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84EB0EC-C746-4224-8CAA-A2E0A1AB46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B38F5D4D-748B-4574-A706-3F69CB55225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141015 2014-Research ReportTemplate</Template>
  <TotalTime>4</TotalTime>
  <Pages>1</Pages>
  <Words>410</Words>
  <Characters>2340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NHMFL Research Report</vt:lpstr>
    </vt:vector>
  </TitlesOfParts>
  <Company>NHMFL</Company>
  <LinksUpToDate>false</LinksUpToDate>
  <CharactersWithSpaces>2745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NHMFL Research Report</dc:title>
  <dc:creator>Anke Toth</dc:creator>
  <cp:lastModifiedBy>Anke Toth</cp:lastModifiedBy>
  <cp:revision>5</cp:revision>
  <cp:lastPrinted>2015-07-15T21:10:00Z</cp:lastPrinted>
  <dcterms:created xsi:type="dcterms:W3CDTF">2018-01-16T14:29:00Z</dcterms:created>
  <dcterms:modified xsi:type="dcterms:W3CDTF">2018-04-03T20:44:00Z</dcterms:modified>
</cp:coreProperties>
</file>