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076E" w14:textId="72C59C71" w:rsidR="00C75A17" w:rsidRPr="00D65CBB" w:rsidRDefault="00D65283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Insights into Li-Ion Transport in Composite Electrolytes</w:t>
      </w:r>
    </w:p>
    <w:p w14:paraId="140EEE97" w14:textId="77777777" w:rsidR="003E2F8E" w:rsidRPr="00B6451B" w:rsidRDefault="003E2F8E" w:rsidP="0049187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14:paraId="1BE3D26D" w14:textId="625569F0" w:rsidR="00CF61FD" w:rsidRPr="00B6451B" w:rsidRDefault="000627BB" w:rsidP="0049187D">
      <w:pPr>
        <w:tabs>
          <w:tab w:val="left" w:pos="360"/>
        </w:tabs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sz w:val="20"/>
          <w:szCs w:val="20"/>
        </w:rPr>
        <w:t>Zheng, J.</w:t>
      </w:r>
      <w:r w:rsidRPr="006B3824">
        <w:rPr>
          <w:rFonts w:ascii="Arial" w:hAnsi="Arial" w:cs="Arial"/>
          <w:sz w:val="20"/>
          <w:szCs w:val="20"/>
        </w:rPr>
        <w:t xml:space="preserve"> (</w:t>
      </w:r>
      <w:r w:rsidR="003D0B92">
        <w:rPr>
          <w:rFonts w:ascii="Arial" w:hAnsi="Arial" w:cs="Arial"/>
          <w:sz w:val="20"/>
          <w:szCs w:val="20"/>
        </w:rPr>
        <w:t>FSU, Chemistry &amp; Biochemistry);</w:t>
      </w:r>
      <w:r>
        <w:rPr>
          <w:rFonts w:ascii="Arial" w:hAnsi="Arial" w:cs="Arial"/>
          <w:sz w:val="20"/>
          <w:szCs w:val="20"/>
        </w:rPr>
        <w:t xml:space="preserve"> </w:t>
      </w:r>
      <w:r w:rsidR="00320055">
        <w:rPr>
          <w:rFonts w:ascii="Arial" w:hAnsi="Arial" w:cs="Arial"/>
          <w:sz w:val="20"/>
          <w:szCs w:val="20"/>
        </w:rPr>
        <w:t>Feng</w:t>
      </w:r>
      <w:r w:rsidR="003D0B92">
        <w:rPr>
          <w:rFonts w:ascii="Arial" w:hAnsi="Arial" w:cs="Arial"/>
          <w:sz w:val="20"/>
          <w:szCs w:val="20"/>
        </w:rPr>
        <w:t>,</w:t>
      </w:r>
      <w:r w:rsidR="00320055">
        <w:rPr>
          <w:rFonts w:ascii="Arial" w:hAnsi="Arial" w:cs="Arial"/>
          <w:sz w:val="20"/>
          <w:szCs w:val="20"/>
        </w:rPr>
        <w:t xml:space="preserve"> Z. (Oregon State U</w:t>
      </w:r>
      <w:r w:rsidR="003D0B92">
        <w:rPr>
          <w:rFonts w:ascii="Arial" w:hAnsi="Arial" w:cs="Arial"/>
          <w:sz w:val="20"/>
          <w:szCs w:val="20"/>
        </w:rPr>
        <w:t>., Chemical, Biological &amp; Environmental Engineering</w:t>
      </w:r>
      <w:r w:rsidR="00320055">
        <w:rPr>
          <w:rFonts w:ascii="Arial" w:hAnsi="Arial" w:cs="Arial"/>
          <w:sz w:val="20"/>
          <w:szCs w:val="20"/>
        </w:rPr>
        <w:t>)</w:t>
      </w:r>
      <w:r w:rsidR="003D0B92">
        <w:rPr>
          <w:rFonts w:ascii="Arial" w:hAnsi="Arial" w:cs="Arial"/>
          <w:sz w:val="20"/>
          <w:szCs w:val="20"/>
        </w:rPr>
        <w:t>;</w:t>
      </w:r>
      <w:r w:rsidR="00F274C0">
        <w:rPr>
          <w:rFonts w:ascii="Arial" w:hAnsi="Arial" w:cs="Arial"/>
          <w:sz w:val="20"/>
          <w:szCs w:val="20"/>
        </w:rPr>
        <w:t xml:space="preserve"> Chan</w:t>
      </w:r>
      <w:r w:rsidR="003D0B92">
        <w:rPr>
          <w:rFonts w:ascii="Arial" w:hAnsi="Arial" w:cs="Arial"/>
          <w:sz w:val="20"/>
          <w:szCs w:val="20"/>
        </w:rPr>
        <w:t>,</w:t>
      </w:r>
      <w:r w:rsidR="007A0B2D">
        <w:rPr>
          <w:rFonts w:ascii="Arial" w:hAnsi="Arial" w:cs="Arial"/>
          <w:sz w:val="20"/>
          <w:szCs w:val="20"/>
        </w:rPr>
        <w:t xml:space="preserve"> C.</w:t>
      </w:r>
      <w:r w:rsidR="00F274C0">
        <w:rPr>
          <w:rFonts w:ascii="Arial" w:hAnsi="Arial" w:cs="Arial"/>
          <w:sz w:val="20"/>
          <w:szCs w:val="20"/>
        </w:rPr>
        <w:t xml:space="preserve"> (Arizona State U</w:t>
      </w:r>
      <w:r w:rsidR="003D0B92">
        <w:rPr>
          <w:rFonts w:ascii="Arial" w:hAnsi="Arial" w:cs="Arial"/>
          <w:sz w:val="20"/>
          <w:szCs w:val="20"/>
        </w:rPr>
        <w:t>., Materials Science &amp; Engineering);</w:t>
      </w:r>
      <w:r w:rsidR="00F274C0">
        <w:rPr>
          <w:rFonts w:ascii="Arial" w:hAnsi="Arial" w:cs="Arial"/>
          <w:sz w:val="20"/>
          <w:szCs w:val="20"/>
        </w:rPr>
        <w:t xml:space="preserve"> </w:t>
      </w:r>
      <w:r w:rsidR="00CF61FD" w:rsidRPr="001537CA">
        <w:rPr>
          <w:rFonts w:ascii="Arial" w:hAnsi="Arial" w:cs="Arial"/>
          <w:sz w:val="20"/>
          <w:szCs w:val="20"/>
        </w:rPr>
        <w:t>Hu, Y.-Y.</w:t>
      </w:r>
      <w:proofErr w:type="gramEnd"/>
      <w:r w:rsidR="003D0B92">
        <w:rPr>
          <w:rFonts w:ascii="Arial" w:hAnsi="Arial" w:cs="Arial"/>
          <w:sz w:val="20"/>
          <w:szCs w:val="20"/>
        </w:rPr>
        <w:t xml:space="preserve"> </w:t>
      </w:r>
      <w:r w:rsidR="00CF61FD">
        <w:rPr>
          <w:rFonts w:ascii="Arial" w:hAnsi="Arial" w:cs="Arial"/>
          <w:sz w:val="20"/>
          <w:szCs w:val="20"/>
        </w:rPr>
        <w:t>(FSU, Chemistry</w:t>
      </w:r>
      <w:r w:rsidR="003D0B92">
        <w:rPr>
          <w:rFonts w:ascii="Arial" w:hAnsi="Arial" w:cs="Arial"/>
          <w:sz w:val="20"/>
          <w:szCs w:val="20"/>
        </w:rPr>
        <w:t xml:space="preserve"> &amp; Bi</w:t>
      </w:r>
      <w:r w:rsidR="003D0B92">
        <w:rPr>
          <w:rFonts w:ascii="Arial" w:hAnsi="Arial" w:cs="Arial"/>
          <w:sz w:val="20"/>
          <w:szCs w:val="20"/>
        </w:rPr>
        <w:t>o</w:t>
      </w:r>
      <w:r w:rsidR="003D0B92">
        <w:rPr>
          <w:rFonts w:ascii="Arial" w:hAnsi="Arial" w:cs="Arial"/>
          <w:sz w:val="20"/>
          <w:szCs w:val="20"/>
        </w:rPr>
        <w:t xml:space="preserve">chemistry, </w:t>
      </w:r>
      <w:r w:rsidR="000D411B">
        <w:rPr>
          <w:rFonts w:ascii="Arial" w:hAnsi="Arial" w:cs="Arial"/>
          <w:sz w:val="20"/>
          <w:szCs w:val="20"/>
        </w:rPr>
        <w:t>NHMFL</w:t>
      </w:r>
      <w:r w:rsidR="00CF61FD">
        <w:rPr>
          <w:rFonts w:ascii="Arial" w:hAnsi="Arial" w:cs="Arial"/>
          <w:sz w:val="20"/>
          <w:szCs w:val="20"/>
        </w:rPr>
        <w:t>)</w:t>
      </w:r>
      <w:r w:rsidR="003D0B92">
        <w:rPr>
          <w:rFonts w:ascii="Arial" w:hAnsi="Arial" w:cs="Arial"/>
          <w:sz w:val="20"/>
          <w:szCs w:val="20"/>
        </w:rPr>
        <w:t xml:space="preserve"> and </w:t>
      </w:r>
      <w:r w:rsidR="00FE42AD" w:rsidRPr="00B6451B">
        <w:rPr>
          <w:rFonts w:ascii="Arial" w:eastAsia="SimSun" w:hAnsi="Arial" w:cs="Arial"/>
          <w:sz w:val="20"/>
          <w:szCs w:val="20"/>
          <w:u w:val="single"/>
          <w:lang w:eastAsia="zh-CN"/>
        </w:rPr>
        <w:t>Huang, K.</w:t>
      </w:r>
      <w:r w:rsidR="00FE42AD">
        <w:rPr>
          <w:rFonts w:ascii="Arial" w:eastAsia="SimSun" w:hAnsi="Arial" w:cs="Arial"/>
          <w:sz w:val="20"/>
          <w:szCs w:val="20"/>
          <w:lang w:eastAsia="zh-CN"/>
        </w:rPr>
        <w:t xml:space="preserve"> (U</w:t>
      </w:r>
      <w:r w:rsidR="003D0B92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="00FE42AD">
        <w:rPr>
          <w:rFonts w:ascii="Arial" w:eastAsia="SimSun" w:hAnsi="Arial" w:cs="Arial"/>
          <w:sz w:val="20"/>
          <w:szCs w:val="20"/>
          <w:lang w:eastAsia="zh-CN"/>
        </w:rPr>
        <w:t>of South Carolina</w:t>
      </w:r>
      <w:r w:rsidR="003D0B92">
        <w:rPr>
          <w:rFonts w:ascii="Arial" w:eastAsia="SimSun" w:hAnsi="Arial" w:cs="Arial"/>
          <w:sz w:val="20"/>
          <w:szCs w:val="20"/>
          <w:lang w:eastAsia="zh-CN"/>
        </w:rPr>
        <w:t>, Engineering &amp; Computing</w:t>
      </w:r>
      <w:r w:rsidR="00FE42AD">
        <w:rPr>
          <w:rFonts w:ascii="Arial" w:eastAsia="SimSun" w:hAnsi="Arial" w:cs="Arial"/>
          <w:sz w:val="20"/>
          <w:szCs w:val="20"/>
          <w:lang w:eastAsia="zh-CN"/>
        </w:rPr>
        <w:t>)</w:t>
      </w:r>
    </w:p>
    <w:p w14:paraId="0E0C6296" w14:textId="77777777" w:rsidR="00A94FC4" w:rsidRPr="00B6451B" w:rsidRDefault="00A94FC4" w:rsidP="004F66BF">
      <w:pPr>
        <w:pBdr>
          <w:bottom w:val="single" w:sz="12" w:space="0" w:color="auto"/>
        </w:pBdr>
        <w:tabs>
          <w:tab w:val="left" w:pos="360"/>
        </w:tabs>
        <w:rPr>
          <w:rFonts w:ascii="Arial" w:hAnsi="Arial" w:cs="Arial"/>
          <w:sz w:val="10"/>
          <w:szCs w:val="10"/>
        </w:rPr>
      </w:pPr>
    </w:p>
    <w:p w14:paraId="2DF3358F" w14:textId="665A6FC3" w:rsidR="00985062" w:rsidRDefault="00A94FC4" w:rsidP="00A90BAD">
      <w:pPr>
        <w:tabs>
          <w:tab w:val="left" w:pos="360"/>
        </w:tabs>
        <w:spacing w:beforeLines="50"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73E33BA0" w14:textId="76566982" w:rsidR="00D65283" w:rsidRDefault="001B2A86" w:rsidP="009C5D0F">
      <w:pPr>
        <w:tabs>
          <w:tab w:val="left" w:pos="360"/>
        </w:tabs>
        <w:ind w:firstLineChars="142" w:firstLine="284"/>
        <w:rPr>
          <w:rFonts w:ascii="Arial" w:hAnsi="Arial" w:cs="Arial"/>
          <w:sz w:val="20"/>
          <w:szCs w:val="20"/>
        </w:rPr>
      </w:pPr>
      <w:r w:rsidRPr="001B2A86">
        <w:rPr>
          <w:rFonts w:ascii="Arial" w:hAnsi="Arial" w:cs="Arial"/>
          <w:sz w:val="20"/>
          <w:szCs w:val="20"/>
        </w:rPr>
        <w:t>The current generation of rechargeable Li-ion batteries</w:t>
      </w:r>
      <w:r w:rsidR="00386FB1">
        <w:rPr>
          <w:rFonts w:ascii="Arial" w:hAnsi="Arial" w:cs="Arial"/>
          <w:sz w:val="20"/>
          <w:szCs w:val="20"/>
        </w:rPr>
        <w:t xml:space="preserve"> (LIBs)</w:t>
      </w:r>
      <w:r w:rsidRPr="001B2A86">
        <w:rPr>
          <w:rFonts w:ascii="Arial" w:hAnsi="Arial" w:cs="Arial"/>
          <w:sz w:val="20"/>
          <w:szCs w:val="20"/>
        </w:rPr>
        <w:t xml:space="preserve"> employ liquid electrolytes, which are toxic, flammable and corrosive, resulting in significant safety issues. To address these safety issues in addition to</w:t>
      </w:r>
      <w:r w:rsidR="00386FB1">
        <w:rPr>
          <w:rFonts w:ascii="Arial" w:hAnsi="Arial" w:cs="Arial"/>
          <w:sz w:val="20"/>
          <w:szCs w:val="20"/>
        </w:rPr>
        <w:t xml:space="preserve"> i</w:t>
      </w:r>
      <w:r w:rsidR="00386FB1">
        <w:rPr>
          <w:rFonts w:ascii="Arial" w:hAnsi="Arial" w:cs="Arial"/>
          <w:sz w:val="20"/>
          <w:szCs w:val="20"/>
        </w:rPr>
        <w:t>m</w:t>
      </w:r>
      <w:r w:rsidR="00386FB1">
        <w:rPr>
          <w:rFonts w:ascii="Arial" w:hAnsi="Arial" w:cs="Arial"/>
          <w:sz w:val="20"/>
          <w:szCs w:val="20"/>
        </w:rPr>
        <w:t>proving</w:t>
      </w:r>
      <w:r w:rsidRPr="001B2A86">
        <w:rPr>
          <w:rFonts w:ascii="Arial" w:hAnsi="Arial" w:cs="Arial"/>
          <w:sz w:val="20"/>
          <w:szCs w:val="20"/>
        </w:rPr>
        <w:t xml:space="preserve"> </w:t>
      </w:r>
      <w:r w:rsidR="003D0B92">
        <w:rPr>
          <w:rFonts w:ascii="Arial" w:hAnsi="Arial" w:cs="Arial"/>
          <w:sz w:val="20"/>
          <w:szCs w:val="20"/>
        </w:rPr>
        <w:t xml:space="preserve">the </w:t>
      </w:r>
      <w:r w:rsidRPr="001B2A86">
        <w:rPr>
          <w:rFonts w:ascii="Arial" w:hAnsi="Arial" w:cs="Arial"/>
          <w:sz w:val="20"/>
          <w:szCs w:val="20"/>
        </w:rPr>
        <w:t>energy density of LIBs, solid electrolytes are cons</w:t>
      </w:r>
      <w:r>
        <w:rPr>
          <w:rFonts w:ascii="Arial" w:hAnsi="Arial" w:cs="Arial"/>
          <w:sz w:val="20"/>
          <w:szCs w:val="20"/>
        </w:rPr>
        <w:t>idered as a promising solution.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65283" w:rsidRPr="00D65283">
        <w:rPr>
          <w:rFonts w:ascii="Arial" w:hAnsi="Arial" w:cs="Arial"/>
          <w:sz w:val="20"/>
          <w:szCs w:val="20"/>
        </w:rPr>
        <w:t xml:space="preserve">Ceramic–polymer </w:t>
      </w:r>
      <w:r w:rsidR="00844F83">
        <w:rPr>
          <w:rFonts w:ascii="Arial" w:hAnsi="Arial" w:cs="Arial"/>
          <w:sz w:val="20"/>
          <w:szCs w:val="20"/>
        </w:rPr>
        <w:t>composite</w:t>
      </w:r>
      <w:r w:rsidR="00D65283" w:rsidRPr="00D65283">
        <w:rPr>
          <w:rFonts w:ascii="Arial" w:hAnsi="Arial" w:cs="Arial"/>
          <w:sz w:val="20"/>
          <w:szCs w:val="20"/>
        </w:rPr>
        <w:t xml:space="preserve"> electrolytes </w:t>
      </w:r>
      <w:r w:rsidR="00844F83">
        <w:rPr>
          <w:rFonts w:ascii="Arial" w:hAnsi="Arial" w:cs="Arial"/>
          <w:sz w:val="20"/>
          <w:szCs w:val="20"/>
        </w:rPr>
        <w:t xml:space="preserve">are promising for improved </w:t>
      </w:r>
      <w:r w:rsidR="00D65283" w:rsidRPr="00D65283">
        <w:rPr>
          <w:rFonts w:ascii="Arial" w:hAnsi="Arial" w:cs="Arial"/>
          <w:sz w:val="20"/>
          <w:szCs w:val="20"/>
        </w:rPr>
        <w:t>ionic conductivi</w:t>
      </w:r>
      <w:r w:rsidR="00D65283">
        <w:rPr>
          <w:rFonts w:ascii="Arial" w:hAnsi="Arial" w:cs="Arial"/>
          <w:sz w:val="20"/>
          <w:szCs w:val="20"/>
        </w:rPr>
        <w:t>ty, good stability and compati</w:t>
      </w:r>
      <w:r w:rsidR="00D65283" w:rsidRPr="00D65283">
        <w:rPr>
          <w:rFonts w:ascii="Arial" w:hAnsi="Arial" w:cs="Arial"/>
          <w:sz w:val="20"/>
          <w:szCs w:val="20"/>
        </w:rPr>
        <w:t>bility with ele</w:t>
      </w:r>
      <w:r w:rsidR="00D65283" w:rsidRPr="00D65283">
        <w:rPr>
          <w:rFonts w:ascii="Arial" w:hAnsi="Arial" w:cs="Arial"/>
          <w:sz w:val="20"/>
          <w:szCs w:val="20"/>
        </w:rPr>
        <w:t>c</w:t>
      </w:r>
      <w:r w:rsidR="00D65283" w:rsidRPr="00D65283">
        <w:rPr>
          <w:rFonts w:ascii="Arial" w:hAnsi="Arial" w:cs="Arial"/>
          <w:sz w:val="20"/>
          <w:szCs w:val="20"/>
        </w:rPr>
        <w:t xml:space="preserve">trodes, and excellent mechanical properties that cannot be achieved with conventional ceramic or polymer ion conductors. </w:t>
      </w:r>
      <w:r w:rsidR="00D70C23" w:rsidRPr="00D70C23">
        <w:rPr>
          <w:rFonts w:ascii="Arial" w:hAnsi="Arial" w:cs="Arial"/>
          <w:sz w:val="20"/>
          <w:szCs w:val="20"/>
        </w:rPr>
        <w:t xml:space="preserve">In composite systems, Li ions can transport via </w:t>
      </w:r>
      <w:r w:rsidR="00B10428">
        <w:rPr>
          <w:rFonts w:ascii="Arial" w:hAnsi="Arial" w:cs="Arial"/>
          <w:sz w:val="20"/>
          <w:szCs w:val="20"/>
        </w:rPr>
        <w:t xml:space="preserve">the </w:t>
      </w:r>
      <w:r w:rsidR="00D70C23" w:rsidRPr="00D70C23">
        <w:rPr>
          <w:rFonts w:ascii="Arial" w:hAnsi="Arial" w:cs="Arial"/>
          <w:sz w:val="20"/>
          <w:szCs w:val="20"/>
        </w:rPr>
        <w:t>polymer matrix, inorganic fillers, the organic-inorganic interfaces, or a combination of the three. Li-ion transport pathways, together with active Li-ion conce</w:t>
      </w:r>
      <w:r w:rsidR="00D70C23" w:rsidRPr="00D70C23">
        <w:rPr>
          <w:rFonts w:ascii="Arial" w:hAnsi="Arial" w:cs="Arial"/>
          <w:sz w:val="20"/>
          <w:szCs w:val="20"/>
        </w:rPr>
        <w:t>n</w:t>
      </w:r>
      <w:r w:rsidR="00D70C23" w:rsidRPr="00D70C23">
        <w:rPr>
          <w:rFonts w:ascii="Arial" w:hAnsi="Arial" w:cs="Arial"/>
          <w:sz w:val="20"/>
          <w:szCs w:val="20"/>
        </w:rPr>
        <w:t>tration and Li-ion mobility, determine the ionic conductivity of Li electrolytes. Thus, exploring the</w:t>
      </w:r>
      <w:r w:rsidR="00B10428">
        <w:rPr>
          <w:rFonts w:ascii="Arial" w:hAnsi="Arial" w:cs="Arial"/>
          <w:sz w:val="20"/>
          <w:szCs w:val="20"/>
        </w:rPr>
        <w:t xml:space="preserve"> mechanism of Li-ion transport</w:t>
      </w:r>
      <w:r w:rsidR="00E00D22">
        <w:rPr>
          <w:rFonts w:ascii="Arial" w:hAnsi="Arial" w:cs="Arial"/>
          <w:sz w:val="20"/>
          <w:szCs w:val="20"/>
        </w:rPr>
        <w:t xml:space="preserve"> is crucial</w:t>
      </w:r>
      <w:r w:rsidR="003D0B92">
        <w:rPr>
          <w:rFonts w:ascii="Arial" w:hAnsi="Arial" w:cs="Arial"/>
          <w:sz w:val="20"/>
          <w:szCs w:val="20"/>
        </w:rPr>
        <w:t>,</w:t>
      </w:r>
      <w:r w:rsidR="00E00D22">
        <w:rPr>
          <w:rFonts w:ascii="Arial" w:hAnsi="Arial" w:cs="Arial"/>
          <w:sz w:val="20"/>
          <w:szCs w:val="20"/>
        </w:rPr>
        <w:t xml:space="preserve"> but challenging. </w:t>
      </w:r>
      <w:r w:rsidR="00B10428">
        <w:rPr>
          <w:rFonts w:ascii="Arial" w:hAnsi="Arial" w:cs="Arial"/>
          <w:sz w:val="20"/>
          <w:szCs w:val="20"/>
        </w:rPr>
        <w:t>With</w:t>
      </w:r>
      <w:r w:rsidR="00E00D22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E00D22" w:rsidRPr="00E00D22">
        <w:rPr>
          <w:rFonts w:ascii="Arial" w:hAnsi="Arial" w:cs="Arial"/>
          <w:sz w:val="20"/>
          <w:szCs w:val="20"/>
          <w:vertAlign w:val="superscript"/>
        </w:rPr>
        <w:t>6</w:t>
      </w:r>
      <w:r w:rsidR="00E00D22">
        <w:rPr>
          <w:rFonts w:ascii="Arial" w:hAnsi="Arial" w:cs="Arial"/>
          <w:sz w:val="20"/>
          <w:szCs w:val="20"/>
        </w:rPr>
        <w:t xml:space="preserve">Li </w:t>
      </w:r>
      <w:r w:rsidR="00E00D22">
        <w:rPr>
          <w:rFonts w:ascii="Arial" w:hAnsi="Arial" w:cs="Arial"/>
          <w:sz w:val="20"/>
          <w:szCs w:val="20"/>
        </w:rPr>
        <w:sym w:font="Symbol" w:char="F0AE"/>
      </w:r>
      <w:r w:rsidR="00E00D22" w:rsidRPr="00E00D22">
        <w:rPr>
          <w:rFonts w:ascii="Arial" w:hAnsi="Arial" w:cs="Arial"/>
          <w:sz w:val="20"/>
          <w:szCs w:val="20"/>
        </w:rPr>
        <w:t xml:space="preserve"> </w:t>
      </w:r>
      <w:r w:rsidR="00E00D22" w:rsidRPr="00E00D22">
        <w:rPr>
          <w:rFonts w:ascii="Arial" w:hAnsi="Arial" w:cs="Arial"/>
          <w:sz w:val="20"/>
          <w:szCs w:val="20"/>
          <w:vertAlign w:val="superscript"/>
        </w:rPr>
        <w:t>7</w:t>
      </w:r>
      <w:r w:rsidR="00E00D22" w:rsidRPr="00E00D22">
        <w:rPr>
          <w:rFonts w:ascii="Arial" w:hAnsi="Arial" w:cs="Arial"/>
          <w:sz w:val="20"/>
          <w:szCs w:val="20"/>
        </w:rPr>
        <w:t xml:space="preserve">Li </w:t>
      </w:r>
      <w:r w:rsidR="00A0425B">
        <w:rPr>
          <w:rFonts w:ascii="Arial" w:hAnsi="Arial" w:cs="Arial"/>
          <w:sz w:val="20"/>
          <w:szCs w:val="20"/>
        </w:rPr>
        <w:t>tracer-</w:t>
      </w:r>
      <w:r w:rsidR="00E00D22">
        <w:rPr>
          <w:rFonts w:ascii="Arial" w:hAnsi="Arial" w:cs="Arial"/>
          <w:sz w:val="20"/>
          <w:szCs w:val="20"/>
        </w:rPr>
        <w:t>exchange NMR</w:t>
      </w:r>
      <w:bookmarkEnd w:id="0"/>
      <w:bookmarkEnd w:id="1"/>
      <w:r w:rsidR="00E00D22" w:rsidRPr="00E00D22">
        <w:rPr>
          <w:rFonts w:ascii="Arial" w:hAnsi="Arial" w:cs="Arial"/>
          <w:sz w:val="20"/>
          <w:szCs w:val="20"/>
        </w:rPr>
        <w:t xml:space="preserve">, Li-ion transport pathways within a series of </w:t>
      </w:r>
      <w:r w:rsidR="00405344" w:rsidRPr="00405344">
        <w:rPr>
          <w:rFonts w:ascii="Arial" w:hAnsi="Arial" w:cs="Arial"/>
          <w:sz w:val="20"/>
          <w:szCs w:val="20"/>
        </w:rPr>
        <w:t>Li</w:t>
      </w:r>
      <w:r w:rsidR="00405344" w:rsidRPr="00405344">
        <w:rPr>
          <w:rFonts w:ascii="Arial" w:hAnsi="Arial" w:cs="Arial"/>
          <w:sz w:val="20"/>
          <w:szCs w:val="20"/>
          <w:vertAlign w:val="subscript"/>
        </w:rPr>
        <w:t>7</w:t>
      </w:r>
      <w:r w:rsidR="00405344" w:rsidRPr="00405344">
        <w:rPr>
          <w:rFonts w:ascii="Arial" w:hAnsi="Arial" w:cs="Arial"/>
          <w:sz w:val="20"/>
          <w:szCs w:val="20"/>
        </w:rPr>
        <w:t>La</w:t>
      </w:r>
      <w:r w:rsidR="00405344" w:rsidRPr="00405344">
        <w:rPr>
          <w:rFonts w:ascii="Arial" w:hAnsi="Arial" w:cs="Arial"/>
          <w:sz w:val="20"/>
          <w:szCs w:val="20"/>
          <w:vertAlign w:val="subscript"/>
        </w:rPr>
        <w:t>3</w:t>
      </w:r>
      <w:r w:rsidR="00405344" w:rsidRPr="00405344">
        <w:rPr>
          <w:rFonts w:ascii="Arial" w:hAnsi="Arial" w:cs="Arial"/>
          <w:sz w:val="20"/>
          <w:szCs w:val="20"/>
        </w:rPr>
        <w:t>Zr</w:t>
      </w:r>
      <w:r w:rsidR="00405344" w:rsidRPr="00405344">
        <w:rPr>
          <w:rFonts w:ascii="Arial" w:hAnsi="Arial" w:cs="Arial"/>
          <w:sz w:val="20"/>
          <w:szCs w:val="20"/>
          <w:vertAlign w:val="subscript"/>
        </w:rPr>
        <w:t>2</w:t>
      </w:r>
      <w:r w:rsidR="00405344" w:rsidRPr="00405344">
        <w:rPr>
          <w:rFonts w:ascii="Arial" w:hAnsi="Arial" w:cs="Arial"/>
          <w:sz w:val="20"/>
          <w:szCs w:val="20"/>
        </w:rPr>
        <w:t>O</w:t>
      </w:r>
      <w:r w:rsidR="00405344" w:rsidRPr="00405344">
        <w:rPr>
          <w:rFonts w:ascii="Arial" w:hAnsi="Arial" w:cs="Arial"/>
          <w:sz w:val="20"/>
          <w:szCs w:val="20"/>
          <w:vertAlign w:val="subscript"/>
        </w:rPr>
        <w:t>12</w:t>
      </w:r>
      <w:r w:rsidR="00405344" w:rsidRPr="00405344">
        <w:rPr>
          <w:rFonts w:ascii="Arial" w:hAnsi="Arial" w:cs="Arial"/>
          <w:sz w:val="20"/>
          <w:szCs w:val="20"/>
        </w:rPr>
        <w:t xml:space="preserve"> </w:t>
      </w:r>
      <w:r w:rsidR="00405344">
        <w:rPr>
          <w:rFonts w:ascii="Arial" w:hAnsi="Arial" w:cs="Arial"/>
          <w:sz w:val="20"/>
          <w:szCs w:val="20"/>
        </w:rPr>
        <w:t>(LLZO)</w:t>
      </w:r>
      <w:r w:rsidR="00B10428">
        <w:rPr>
          <w:rFonts w:ascii="Arial" w:hAnsi="Arial" w:cs="Arial"/>
          <w:sz w:val="20"/>
          <w:szCs w:val="20"/>
        </w:rPr>
        <w:t>-p</w:t>
      </w:r>
      <w:r w:rsidR="00405344" w:rsidRPr="00405344">
        <w:rPr>
          <w:rFonts w:ascii="Arial" w:hAnsi="Arial" w:cs="Arial"/>
          <w:sz w:val="20"/>
          <w:szCs w:val="20"/>
        </w:rPr>
        <w:t xml:space="preserve">oly(ethylene oxide) </w:t>
      </w:r>
      <w:r w:rsidR="00405344">
        <w:rPr>
          <w:rFonts w:ascii="Arial" w:hAnsi="Arial" w:cs="Arial" w:hint="eastAsia"/>
          <w:sz w:val="20"/>
          <w:szCs w:val="20"/>
        </w:rPr>
        <w:t>(</w:t>
      </w:r>
      <w:r w:rsidR="00405344" w:rsidRPr="00405344">
        <w:rPr>
          <w:rFonts w:ascii="Arial" w:hAnsi="Arial" w:cs="Arial"/>
          <w:sz w:val="20"/>
          <w:szCs w:val="20"/>
        </w:rPr>
        <w:t>PEO</w:t>
      </w:r>
      <w:r w:rsidR="00405344">
        <w:rPr>
          <w:rFonts w:ascii="Arial" w:hAnsi="Arial" w:cs="Arial"/>
          <w:sz w:val="20"/>
          <w:szCs w:val="20"/>
        </w:rPr>
        <w:t>)</w:t>
      </w:r>
      <w:r w:rsidR="00163301" w:rsidRPr="00163301">
        <w:rPr>
          <w:rFonts w:ascii="Arial" w:hAnsi="Arial" w:cs="Arial"/>
          <w:sz w:val="20"/>
          <w:szCs w:val="20"/>
        </w:rPr>
        <w:t xml:space="preserve"> </w:t>
      </w:r>
      <w:r w:rsidR="00E00D22" w:rsidRPr="00E00D22">
        <w:rPr>
          <w:rFonts w:ascii="Arial" w:hAnsi="Arial" w:cs="Arial"/>
          <w:sz w:val="20"/>
          <w:szCs w:val="20"/>
        </w:rPr>
        <w:t>composi</w:t>
      </w:r>
      <w:r w:rsidR="00405344">
        <w:rPr>
          <w:rFonts w:ascii="Arial" w:hAnsi="Arial" w:cs="Arial"/>
          <w:sz w:val="20"/>
          <w:szCs w:val="20"/>
        </w:rPr>
        <w:t>te electrolytes are identified.</w:t>
      </w:r>
      <w:r w:rsidR="001060A3">
        <w:rPr>
          <w:rFonts w:ascii="Arial" w:hAnsi="Arial" w:cs="Arial"/>
          <w:sz w:val="20"/>
          <w:szCs w:val="20"/>
        </w:rPr>
        <w:fldChar w:fldCharType="begin"/>
      </w:r>
      <w:r w:rsidR="001060A3">
        <w:rPr>
          <w:rFonts w:ascii="Arial" w:hAnsi="Arial" w:cs="Arial"/>
          <w:sz w:val="20"/>
          <w:szCs w:val="20"/>
        </w:rPr>
        <w:instrText xml:space="preserve"> ADDIN ZOTERO_ITEM CSL_CITATION {"citationID":"1u14fmibpd","properties":{"formattedCitation":"{\\rtf \\super 1\\uc0\\u8211{}3\\nosupersub{}}","plainCitation":"1–3"},"citationItems":[{"id":228,"uris":["http://zotero.org/users/3210364/items/ZCCATUGC"],"uri":["http://zotero.org/users/3210364/items/ZCCATUGC"],"itemData":{"id":228,"type":"article-journal","title":"Lithium Ion Pathway within Li &lt;sub&gt;7&lt;/sub&gt; La &lt;sub&gt;3&lt;/sub&gt; Zr &lt;sub&gt;2&lt;/sub&gt; O &lt;sub&gt;12&lt;/sub&gt; -Polyethylene Oxide Composite Electrolytes","container-title":"Angewandte Chemie International Edition","page":"12538-12542","volume":"55","issue":"40","source":"CrossRef","DOI":"10.1002/anie.201607539","ISSN":"14337851","language":"en","author":[{"family":"Zheng","given":"Jin"},{"family":"Tang","given":"Mingxue"},{"family":"Hu","given":"Yan-Yan"}],"issued":{"date-parts":[["2016",9,26]]}},"label":"page"},{"id":243,"uris":["http://zotero.org/users/3210364/items/Q6HR9FHA"],"uri":["http://zotero.org/users/3210364/items/Q6HR9FHA"],"itemData":{"id":243,"type":"article-journal","title":"Li-ion transport in a representative ceramic–polymer–plasticizer composite electrolyte: Li &lt;sub&gt;7&lt;/sub&gt; La &lt;sub&gt;3&lt;/sub&gt; Zr &lt;sub&gt;2&lt;/sub&gt; O &lt;sub&gt;12&lt;/sub&gt; –polyethylene oxide–tetraethylene glycol dimethyl ether","container-title":"J. Mater. Chem. A","page":"18457-18463","volume":"5","issue":"35","source":"CrossRef","DOI":"10.1039/C7TA05832B","ISSN":"2050-7488, 2050-7496","shortTitle":"Li-ion transport in a representative ceramic–polymer–plasticizer composite electrolyte","language":"en","author":[{"family":"Zheng","given":"Jin"},{"family":"Dang","given":"Heather"},{"family":"Feng","given":"Xuyong"},{"family":"Chien","given":"Po-Hsiu"},{"family":"Hu","given":"Yan-Yan"}],"issued":{"date-parts":[["2017"]]}},"label":"page"},{"id":229,"uris":["http://zotero.org/users/3210364/items/JQE8E8F9"],"uri":["http://zotero.org/users/3210364/items/JQE8E8F9"],"itemData":{"id":229,"type":"article-journal","title":"Composite Polymer Electrolytes with Li &lt;sub&gt;7&lt;/sub&gt; La &lt;sub&gt;3&lt;/sub&gt; Zr &lt;sub&gt;2&lt;/sub&gt; O &lt;sub&gt;12&lt;/sub&gt; Garnet-Type Nanowires as Ceramic Fillers: Mechanism of Conductivity Enhancement and Role of Doping and Morphology","container-title":"ACS Applied Materials &amp; Interfaces","page":"21773-21780","volume":"9","issue":"26","source":"CrossRef","DOI":"10.1021/acsami.7b03806","ISSN":"1944-8244, 1944-8252","shortTitle":"Composite Polymer Electrolytes with Li &lt;sub&gt;7&lt;/sub&gt; La &lt;sub&gt;3&lt;/sub&gt; Zr &lt;sub&gt;2&lt;/sub&gt; O &lt;sub&gt;12&lt;/sub&gt; Garnet-Type Nanowires as Ceramic Fillers","language":"en","author":[{"family":"Yang","given":"Ting"},{"family":"Zheng","given":"Jin"},{"family":"Cheng","given":"Qian"},{"family":"Hu","given":"Yan-Yan"},{"family":"Chan","given":"Candace K."}],"issued":{"date-parts":[["2017",7,5]]}},"label":"page"}],"schema":"https://github.com/citation-style-language/schema/raw/master/csl-citation.json"} </w:instrText>
      </w:r>
      <w:r w:rsidR="001060A3">
        <w:rPr>
          <w:rFonts w:ascii="Arial" w:hAnsi="Arial" w:cs="Arial"/>
          <w:sz w:val="20"/>
          <w:szCs w:val="20"/>
        </w:rPr>
        <w:fldChar w:fldCharType="separate"/>
      </w:r>
      <w:r w:rsidR="001060A3" w:rsidRPr="001060A3">
        <w:rPr>
          <w:rFonts w:ascii="Arial" w:eastAsia="Times New Roman" w:hAnsi="Arial" w:cs="Arial"/>
          <w:sz w:val="20"/>
          <w:vertAlign w:val="superscript"/>
        </w:rPr>
        <w:t>1–3</w:t>
      </w:r>
      <w:r w:rsidR="001060A3">
        <w:rPr>
          <w:rFonts w:ascii="Arial" w:hAnsi="Arial" w:cs="Arial"/>
          <w:sz w:val="20"/>
          <w:szCs w:val="20"/>
        </w:rPr>
        <w:fldChar w:fldCharType="end"/>
      </w:r>
    </w:p>
    <w:p w14:paraId="12DD1B23" w14:textId="7CC12833" w:rsidR="00E00D22" w:rsidRDefault="002524EE" w:rsidP="00A90BAD">
      <w:pPr>
        <w:tabs>
          <w:tab w:val="left" w:pos="360"/>
        </w:tabs>
        <w:spacing w:beforeLines="50"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046D79E5" w14:textId="482910D3" w:rsidR="0022640F" w:rsidRPr="0022640F" w:rsidRDefault="0022640F" w:rsidP="009C5D0F">
      <w:pPr>
        <w:tabs>
          <w:tab w:val="left" w:pos="360"/>
        </w:tabs>
        <w:ind w:firstLineChars="142" w:firstLine="284"/>
        <w:rPr>
          <w:rFonts w:ascii="Arial" w:hAnsi="Arial" w:cs="Arial"/>
          <w:sz w:val="20"/>
          <w:szCs w:val="20"/>
        </w:rPr>
      </w:pPr>
      <w:r w:rsidRPr="00E00D2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  <w:szCs w:val="20"/>
        </w:rPr>
        <w:sym w:font="Symbol" w:char="F0AE"/>
      </w:r>
      <w:r w:rsidRPr="00E00D22">
        <w:rPr>
          <w:rFonts w:ascii="Arial" w:hAnsi="Arial" w:cs="Arial"/>
          <w:sz w:val="20"/>
          <w:szCs w:val="20"/>
        </w:rPr>
        <w:t xml:space="preserve"> </w:t>
      </w:r>
      <w:r w:rsidRPr="00E00D22">
        <w:rPr>
          <w:rFonts w:ascii="Arial" w:hAnsi="Arial" w:cs="Arial"/>
          <w:sz w:val="20"/>
          <w:szCs w:val="20"/>
          <w:vertAlign w:val="superscript"/>
        </w:rPr>
        <w:t>7</w:t>
      </w:r>
      <w:r w:rsidRPr="00E00D22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  <w:szCs w:val="20"/>
        </w:rPr>
        <w:t xml:space="preserve">tracer exchange: </w:t>
      </w:r>
      <w:r w:rsidRPr="0022640F">
        <w:rPr>
          <w:rFonts w:ascii="Arial" w:hAnsi="Arial" w:cs="Arial"/>
          <w:sz w:val="20"/>
          <w:szCs w:val="20"/>
        </w:rPr>
        <w:t xml:space="preserve">a biased potential was applied to a symmetric cell made with </w:t>
      </w:r>
      <w:r w:rsidRPr="0022640F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Li-</w:t>
      </w:r>
      <w:r w:rsidRPr="0022640F">
        <w:rPr>
          <w:rFonts w:ascii="Arial" w:hAnsi="Arial" w:cs="Arial"/>
          <w:sz w:val="20"/>
          <w:szCs w:val="20"/>
        </w:rPr>
        <w:t xml:space="preserve">enriched Li metal foil as the electrodes, </w:t>
      </w:r>
      <w:r w:rsidRPr="0022640F">
        <w:rPr>
          <w:rFonts w:ascii="Arial" w:hAnsi="Arial" w:cs="Arial"/>
          <w:sz w:val="20"/>
          <w:szCs w:val="20"/>
          <w:vertAlign w:val="superscript"/>
        </w:rPr>
        <w:t>6</w:t>
      </w:r>
      <w:r w:rsidRPr="0022640F">
        <w:rPr>
          <w:rFonts w:ascii="Arial" w:hAnsi="Arial" w:cs="Arial"/>
          <w:sz w:val="20"/>
          <w:szCs w:val="20"/>
        </w:rPr>
        <w:t>Li|</w:t>
      </w:r>
      <w:r>
        <w:rPr>
          <w:rFonts w:ascii="Arial" w:hAnsi="Arial" w:cs="Arial"/>
          <w:sz w:val="20"/>
          <w:szCs w:val="20"/>
        </w:rPr>
        <w:t>composite electrolyte</w:t>
      </w:r>
      <w:r w:rsidRPr="0022640F">
        <w:rPr>
          <w:rFonts w:ascii="Arial" w:hAnsi="Arial" w:cs="Arial"/>
          <w:sz w:val="20"/>
          <w:szCs w:val="20"/>
        </w:rPr>
        <w:t>|</w:t>
      </w:r>
      <w:r w:rsidRPr="0022640F">
        <w:rPr>
          <w:rFonts w:ascii="Arial" w:hAnsi="Arial" w:cs="Arial"/>
          <w:sz w:val="20"/>
          <w:szCs w:val="20"/>
          <w:vertAlign w:val="superscript"/>
        </w:rPr>
        <w:t>6</w:t>
      </w:r>
      <w:r w:rsidRPr="0022640F">
        <w:rPr>
          <w:rFonts w:ascii="Arial" w:hAnsi="Arial" w:cs="Arial"/>
          <w:sz w:val="20"/>
          <w:szCs w:val="20"/>
        </w:rPr>
        <w:t xml:space="preserve">Li, to drive </w:t>
      </w:r>
      <w:r w:rsidRPr="0022640F">
        <w:rPr>
          <w:rFonts w:ascii="Arial" w:hAnsi="Arial" w:cs="Arial"/>
          <w:sz w:val="20"/>
          <w:szCs w:val="20"/>
          <w:vertAlign w:val="superscript"/>
        </w:rPr>
        <w:t>6</w:t>
      </w:r>
      <w:r w:rsidRPr="0022640F">
        <w:rPr>
          <w:rFonts w:ascii="Arial" w:hAnsi="Arial" w:cs="Arial"/>
          <w:sz w:val="20"/>
          <w:szCs w:val="20"/>
        </w:rPr>
        <w:t xml:space="preserve">Li ions from one </w:t>
      </w:r>
      <w:r w:rsidRPr="0022640F">
        <w:rPr>
          <w:rFonts w:ascii="Arial" w:hAnsi="Arial" w:cs="Arial"/>
          <w:sz w:val="20"/>
          <w:szCs w:val="20"/>
          <w:vertAlign w:val="superscript"/>
        </w:rPr>
        <w:t>6</w:t>
      </w:r>
      <w:r w:rsidRPr="0022640F">
        <w:rPr>
          <w:rFonts w:ascii="Arial" w:hAnsi="Arial" w:cs="Arial"/>
          <w:sz w:val="20"/>
          <w:szCs w:val="20"/>
        </w:rPr>
        <w:t xml:space="preserve">Li electrode to exchange with </w:t>
      </w:r>
      <w:r w:rsidRPr="0022640F">
        <w:rPr>
          <w:rFonts w:ascii="Arial" w:hAnsi="Arial" w:cs="Arial"/>
          <w:sz w:val="20"/>
          <w:szCs w:val="20"/>
          <w:vertAlign w:val="superscript"/>
        </w:rPr>
        <w:t>7</w:t>
      </w:r>
      <w:r w:rsidRPr="0022640F">
        <w:rPr>
          <w:rFonts w:ascii="Arial" w:hAnsi="Arial" w:cs="Arial"/>
          <w:sz w:val="20"/>
          <w:szCs w:val="20"/>
        </w:rPr>
        <w:t>Li in the comp</w:t>
      </w:r>
      <w:r>
        <w:rPr>
          <w:rFonts w:ascii="Arial" w:hAnsi="Arial" w:cs="Arial"/>
          <w:sz w:val="20"/>
          <w:szCs w:val="20"/>
        </w:rPr>
        <w:t>osite electrolyte before reach</w:t>
      </w:r>
      <w:r w:rsidRPr="0022640F">
        <w:rPr>
          <w:rFonts w:ascii="Arial" w:hAnsi="Arial" w:cs="Arial"/>
          <w:sz w:val="20"/>
          <w:szCs w:val="20"/>
        </w:rPr>
        <w:t xml:space="preserve">ing the other </w:t>
      </w:r>
      <w:r w:rsidRPr="00163301">
        <w:rPr>
          <w:rFonts w:ascii="Arial" w:hAnsi="Arial" w:cs="Arial"/>
          <w:sz w:val="20"/>
          <w:szCs w:val="20"/>
          <w:vertAlign w:val="superscript"/>
        </w:rPr>
        <w:t>6</w:t>
      </w:r>
      <w:r w:rsidRPr="0022640F">
        <w:rPr>
          <w:rFonts w:ascii="Arial" w:hAnsi="Arial" w:cs="Arial"/>
          <w:sz w:val="20"/>
          <w:szCs w:val="20"/>
        </w:rPr>
        <w:t>Li electrode. The</w:t>
      </w:r>
      <w:r>
        <w:rPr>
          <w:rFonts w:ascii="Arial" w:hAnsi="Arial" w:cs="Arial"/>
          <w:sz w:val="20"/>
          <w:szCs w:val="20"/>
        </w:rPr>
        <w:t xml:space="preserve"> direction of the applied poten</w:t>
      </w:r>
      <w:r w:rsidRPr="0022640F">
        <w:rPr>
          <w:rFonts w:ascii="Arial" w:hAnsi="Arial" w:cs="Arial"/>
          <w:sz w:val="20"/>
          <w:szCs w:val="20"/>
        </w:rPr>
        <w:t>tial w</w:t>
      </w:r>
      <w:r>
        <w:rPr>
          <w:rFonts w:ascii="Arial" w:hAnsi="Arial" w:cs="Arial"/>
          <w:sz w:val="20"/>
          <w:szCs w:val="20"/>
        </w:rPr>
        <w:t xml:space="preserve">as switched at 5 min intervals. </w:t>
      </w:r>
      <w:r w:rsidRPr="0022640F">
        <w:rPr>
          <w:rFonts w:ascii="Arial" w:hAnsi="Arial" w:cs="Arial"/>
          <w:sz w:val="20"/>
          <w:szCs w:val="20"/>
        </w:rPr>
        <w:t>The test was carried out on a LANHE (C</w:t>
      </w:r>
      <w:r>
        <w:rPr>
          <w:rFonts w:ascii="Arial" w:hAnsi="Arial" w:cs="Arial"/>
          <w:sz w:val="20"/>
          <w:szCs w:val="20"/>
        </w:rPr>
        <w:t>T2001A) battery testing system.</w:t>
      </w:r>
    </w:p>
    <w:p w14:paraId="180EFE41" w14:textId="7F2BAFC8" w:rsidR="002524EE" w:rsidRPr="00DE5404" w:rsidRDefault="009C5D0F" w:rsidP="009C5D0F">
      <w:pPr>
        <w:tabs>
          <w:tab w:val="left" w:pos="360"/>
        </w:tabs>
        <w:ind w:firstLine="363"/>
        <w:rPr>
          <w:rFonts w:ascii="Arial" w:hAnsi="Arial" w:cs="Arial"/>
          <w:sz w:val="20"/>
          <w:szCs w:val="20"/>
        </w:rPr>
      </w:pPr>
      <w:r w:rsidRPr="005F66E7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5408" behindDoc="0" locked="0" layoutInCell="1" allowOverlap="1" wp14:anchorId="1B77536F" wp14:editId="1ADB1C4C">
            <wp:simplePos x="0" y="0"/>
            <wp:positionH relativeFrom="column">
              <wp:posOffset>2872105</wp:posOffset>
            </wp:positionH>
            <wp:positionV relativeFrom="paragraph">
              <wp:posOffset>492760</wp:posOffset>
            </wp:positionV>
            <wp:extent cx="3561715" cy="1938655"/>
            <wp:effectExtent l="0" t="0" r="635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Li ion pathways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22" w:rsidRPr="00E00D22">
        <w:rPr>
          <w:rFonts w:ascii="Arial" w:hAnsi="Arial" w:cs="Arial"/>
          <w:sz w:val="20"/>
          <w:szCs w:val="20"/>
          <w:vertAlign w:val="superscript"/>
        </w:rPr>
        <w:t>6</w:t>
      </w:r>
      <w:r w:rsidR="00E00D22" w:rsidRPr="00E00D22">
        <w:rPr>
          <w:rFonts w:ascii="Arial" w:hAnsi="Arial" w:cs="Arial"/>
          <w:sz w:val="20"/>
          <w:szCs w:val="20"/>
        </w:rPr>
        <w:t xml:space="preserve">Li magic-angle spinning (MAS) NMR experiments were performed on a Bruker </w:t>
      </w:r>
      <w:proofErr w:type="spellStart"/>
      <w:r w:rsidR="00E00D22" w:rsidRPr="00E00D22">
        <w:rPr>
          <w:rFonts w:ascii="Arial" w:hAnsi="Arial" w:cs="Arial"/>
          <w:sz w:val="20"/>
          <w:szCs w:val="20"/>
        </w:rPr>
        <w:t>Avance</w:t>
      </w:r>
      <w:proofErr w:type="spellEnd"/>
      <w:r w:rsidR="00E00D22" w:rsidRPr="00E00D22">
        <w:rPr>
          <w:rFonts w:ascii="Arial" w:hAnsi="Arial" w:cs="Arial"/>
          <w:sz w:val="20"/>
          <w:szCs w:val="20"/>
        </w:rPr>
        <w:t xml:space="preserve"> III-500 spectrometer with a 2.5 mm Bruker HXY triple-resonance probe. The sample was spun at 25 kHz and the spectra were collec</w:t>
      </w:r>
      <w:r w:rsidR="00E00D22" w:rsidRPr="00E00D22">
        <w:rPr>
          <w:rFonts w:ascii="Arial" w:hAnsi="Arial" w:cs="Arial"/>
          <w:sz w:val="20"/>
          <w:szCs w:val="20"/>
        </w:rPr>
        <w:t>t</w:t>
      </w:r>
      <w:r w:rsidR="00E00D22" w:rsidRPr="00E00D22">
        <w:rPr>
          <w:rFonts w:ascii="Arial" w:hAnsi="Arial" w:cs="Arial"/>
          <w:sz w:val="20"/>
          <w:szCs w:val="20"/>
        </w:rPr>
        <w:t xml:space="preserve">ed at the </w:t>
      </w:r>
      <w:r w:rsidR="00E00D22" w:rsidRPr="00E00D22">
        <w:rPr>
          <w:rFonts w:ascii="Arial" w:hAnsi="Arial" w:cs="Arial"/>
          <w:sz w:val="20"/>
          <w:szCs w:val="20"/>
          <w:vertAlign w:val="superscript"/>
        </w:rPr>
        <w:t>6</w:t>
      </w:r>
      <w:r w:rsidR="00E00D22" w:rsidRPr="00E00D22">
        <w:rPr>
          <w:rFonts w:ascii="Arial" w:hAnsi="Arial" w:cs="Arial"/>
          <w:sz w:val="20"/>
          <w:szCs w:val="20"/>
        </w:rPr>
        <w:t xml:space="preserve">Li </w:t>
      </w:r>
      <w:proofErr w:type="spellStart"/>
      <w:r w:rsidR="00E00D22" w:rsidRPr="00E00D22">
        <w:rPr>
          <w:rFonts w:ascii="Arial" w:hAnsi="Arial" w:cs="Arial"/>
          <w:sz w:val="20"/>
          <w:szCs w:val="20"/>
        </w:rPr>
        <w:t>Larmor</w:t>
      </w:r>
      <w:proofErr w:type="spellEnd"/>
      <w:r w:rsidR="00E00D22" w:rsidRPr="00E00D22">
        <w:rPr>
          <w:rFonts w:ascii="Arial" w:hAnsi="Arial" w:cs="Arial"/>
          <w:sz w:val="20"/>
          <w:szCs w:val="20"/>
        </w:rPr>
        <w:t xml:space="preserve"> frequency of 73.6 </w:t>
      </w:r>
      <w:proofErr w:type="spellStart"/>
      <w:r w:rsidR="00E00D22" w:rsidRPr="00E00D22">
        <w:rPr>
          <w:rFonts w:ascii="Arial" w:hAnsi="Arial" w:cs="Arial"/>
          <w:sz w:val="20"/>
          <w:szCs w:val="20"/>
        </w:rPr>
        <w:t>MHz.</w:t>
      </w:r>
      <w:proofErr w:type="spellEnd"/>
      <w:r w:rsidR="00E00D22" w:rsidRPr="00E0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D22" w:rsidRPr="00E00D22">
        <w:rPr>
          <w:rFonts w:ascii="Arial" w:hAnsi="Arial" w:cs="Arial"/>
          <w:sz w:val="20"/>
          <w:szCs w:val="20"/>
        </w:rPr>
        <w:t>LiCl</w:t>
      </w:r>
      <w:proofErr w:type="spellEnd"/>
      <w:r w:rsidR="00E00D22" w:rsidRPr="00E00D22">
        <w:rPr>
          <w:rFonts w:ascii="Arial" w:hAnsi="Arial" w:cs="Arial"/>
          <w:sz w:val="20"/>
          <w:szCs w:val="20"/>
        </w:rPr>
        <w:t xml:space="preserve"> with the </w:t>
      </w:r>
      <w:r w:rsidR="00E00D22" w:rsidRPr="00E00D22">
        <w:rPr>
          <w:rFonts w:ascii="Arial" w:hAnsi="Arial" w:cs="Arial"/>
          <w:sz w:val="20"/>
          <w:szCs w:val="20"/>
          <w:vertAlign w:val="superscript"/>
        </w:rPr>
        <w:t>6</w:t>
      </w:r>
      <w:r w:rsidR="00E00D22" w:rsidRPr="00E00D22">
        <w:rPr>
          <w:rFonts w:ascii="Arial" w:hAnsi="Arial" w:cs="Arial"/>
          <w:sz w:val="20"/>
          <w:szCs w:val="20"/>
        </w:rPr>
        <w:t>Li shift at</w:t>
      </w:r>
      <w:r w:rsidR="00E00D22">
        <w:rPr>
          <w:rFonts w:ascii="Arial" w:hAnsi="Arial" w:cs="Arial"/>
          <w:sz w:val="20"/>
          <w:szCs w:val="20"/>
        </w:rPr>
        <w:t xml:space="preserve"> 0 ppm was used as a reference.</w:t>
      </w:r>
    </w:p>
    <w:p w14:paraId="123CB2E5" w14:textId="53E123EA" w:rsidR="002524EE" w:rsidRDefault="002524EE" w:rsidP="00A90BAD">
      <w:pPr>
        <w:tabs>
          <w:tab w:val="left" w:pos="360"/>
        </w:tabs>
        <w:spacing w:beforeLines="50"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02901ADB" w14:textId="2ED16B66" w:rsidR="00227E9E" w:rsidRPr="00227E9E" w:rsidRDefault="00227E9E" w:rsidP="009C5D0F">
      <w:pPr>
        <w:tabs>
          <w:tab w:val="left" w:pos="360"/>
        </w:tabs>
        <w:ind w:firstLineChars="142" w:firstLine="284"/>
        <w:rPr>
          <w:rFonts w:ascii="Arial" w:hAnsi="Arial" w:cs="Arial"/>
          <w:sz w:val="20"/>
          <w:szCs w:val="20"/>
        </w:rPr>
      </w:pPr>
      <w:r w:rsidRPr="00227E9E">
        <w:rPr>
          <w:rFonts w:ascii="Arial" w:hAnsi="Arial" w:cs="Arial"/>
          <w:sz w:val="20"/>
          <w:szCs w:val="20"/>
        </w:rPr>
        <w:t xml:space="preserve">The </w:t>
      </w:r>
      <w:r w:rsidRPr="00227E9E">
        <w:rPr>
          <w:rFonts w:ascii="Arial" w:hAnsi="Arial" w:cs="Arial"/>
          <w:sz w:val="20"/>
          <w:szCs w:val="20"/>
          <w:vertAlign w:val="superscript"/>
        </w:rPr>
        <w:t>6</w:t>
      </w:r>
      <w:r w:rsidRPr="00227E9E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  <w:szCs w:val="20"/>
        </w:rPr>
        <w:t xml:space="preserve">MAS </w:t>
      </w:r>
      <w:r w:rsidRPr="00227E9E">
        <w:rPr>
          <w:rFonts w:ascii="Arial" w:hAnsi="Arial" w:cs="Arial"/>
          <w:sz w:val="20"/>
          <w:szCs w:val="20"/>
        </w:rPr>
        <w:t>NMR spectra of pristine comp</w:t>
      </w:r>
      <w:r w:rsidRPr="00227E9E">
        <w:rPr>
          <w:rFonts w:ascii="Arial" w:hAnsi="Arial" w:cs="Arial"/>
          <w:sz w:val="20"/>
          <w:szCs w:val="20"/>
        </w:rPr>
        <w:t>o</w:t>
      </w:r>
      <w:r w:rsidRPr="00227E9E">
        <w:rPr>
          <w:rFonts w:ascii="Arial" w:hAnsi="Arial" w:cs="Arial"/>
          <w:sz w:val="20"/>
          <w:szCs w:val="20"/>
        </w:rPr>
        <w:t>site electrolytes and those after</w:t>
      </w:r>
      <w:bookmarkStart w:id="2" w:name="OLE_LINK3"/>
      <w:r w:rsidRPr="00227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tracer exchange</w:t>
      </w:r>
      <w:bookmarkEnd w:id="2"/>
      <w:r w:rsidRPr="00227E9E">
        <w:rPr>
          <w:rFonts w:ascii="Arial" w:hAnsi="Arial" w:cs="Arial"/>
          <w:sz w:val="20"/>
          <w:szCs w:val="20"/>
        </w:rPr>
        <w:t xml:space="preserve"> are shown in Fig.</w:t>
      </w:r>
      <w:r>
        <w:rPr>
          <w:rFonts w:ascii="Arial" w:hAnsi="Arial" w:cs="Arial"/>
          <w:sz w:val="20"/>
          <w:szCs w:val="20"/>
        </w:rPr>
        <w:t xml:space="preserve"> 1. </w:t>
      </w:r>
      <w:r w:rsidR="00DB6B4C" w:rsidRPr="00DB6B4C">
        <w:rPr>
          <w:rFonts w:ascii="Arial" w:hAnsi="Arial" w:cs="Arial"/>
          <w:sz w:val="20"/>
          <w:szCs w:val="20"/>
        </w:rPr>
        <w:t xml:space="preserve">During </w:t>
      </w:r>
      <w:r w:rsidR="00DB6B4C" w:rsidRPr="00227E9E">
        <w:rPr>
          <w:rFonts w:ascii="Arial" w:hAnsi="Arial" w:cs="Arial"/>
          <w:sz w:val="20"/>
          <w:szCs w:val="20"/>
          <w:vertAlign w:val="superscript"/>
        </w:rPr>
        <w:t>6</w:t>
      </w:r>
      <w:r w:rsidR="00DB6B4C" w:rsidRPr="00227E9E">
        <w:rPr>
          <w:rFonts w:ascii="Arial" w:hAnsi="Arial" w:cs="Arial"/>
          <w:sz w:val="20"/>
          <w:szCs w:val="20"/>
        </w:rPr>
        <w:t>Li →</w:t>
      </w:r>
      <w:r w:rsidR="00DB6B4C" w:rsidRPr="00227E9E">
        <w:rPr>
          <w:rFonts w:ascii="Arial" w:hAnsi="Arial" w:cs="Arial" w:hint="eastAsia"/>
          <w:sz w:val="20"/>
          <w:szCs w:val="20"/>
        </w:rPr>
        <w:t xml:space="preserve"> </w:t>
      </w:r>
      <w:r w:rsidR="00DB6B4C" w:rsidRPr="00227E9E">
        <w:rPr>
          <w:rFonts w:ascii="Arial" w:hAnsi="Arial" w:cs="Arial"/>
          <w:sz w:val="20"/>
          <w:szCs w:val="20"/>
          <w:vertAlign w:val="superscript"/>
        </w:rPr>
        <w:t>7</w:t>
      </w:r>
      <w:r w:rsidR="00DB6B4C" w:rsidRPr="00227E9E">
        <w:rPr>
          <w:rFonts w:ascii="Arial" w:hAnsi="Arial" w:cs="Arial"/>
          <w:sz w:val="20"/>
          <w:szCs w:val="20"/>
        </w:rPr>
        <w:t xml:space="preserve">Li </w:t>
      </w:r>
      <w:r w:rsidR="00DB6B4C">
        <w:rPr>
          <w:rFonts w:ascii="Arial" w:hAnsi="Arial" w:cs="Arial"/>
          <w:sz w:val="20"/>
          <w:szCs w:val="20"/>
        </w:rPr>
        <w:t>tracer e</w:t>
      </w:r>
      <w:r w:rsidR="00DB6B4C">
        <w:rPr>
          <w:rFonts w:ascii="Arial" w:hAnsi="Arial" w:cs="Arial"/>
          <w:sz w:val="20"/>
          <w:szCs w:val="20"/>
        </w:rPr>
        <w:t>x</w:t>
      </w:r>
      <w:r w:rsidR="00DB6B4C">
        <w:rPr>
          <w:rFonts w:ascii="Arial" w:hAnsi="Arial" w:cs="Arial"/>
          <w:sz w:val="20"/>
          <w:szCs w:val="20"/>
        </w:rPr>
        <w:t>change</w:t>
      </w:r>
      <w:r w:rsidR="00DB6B4C" w:rsidRPr="00DB6B4C">
        <w:rPr>
          <w:rFonts w:ascii="Arial" w:hAnsi="Arial" w:cs="Arial"/>
          <w:sz w:val="20"/>
          <w:szCs w:val="20"/>
        </w:rPr>
        <w:t xml:space="preserve"> process, </w:t>
      </w:r>
      <w:r w:rsidR="00DB6B4C" w:rsidRPr="00DB6B4C">
        <w:rPr>
          <w:rFonts w:ascii="Arial" w:hAnsi="Arial" w:cs="Arial"/>
          <w:sz w:val="20"/>
          <w:szCs w:val="20"/>
          <w:vertAlign w:val="superscript"/>
        </w:rPr>
        <w:t>6</w:t>
      </w:r>
      <w:r w:rsidR="00DB6B4C" w:rsidRPr="00DB6B4C">
        <w:rPr>
          <w:rFonts w:ascii="Arial" w:hAnsi="Arial" w:cs="Arial"/>
          <w:sz w:val="20"/>
          <w:szCs w:val="20"/>
        </w:rPr>
        <w:t xml:space="preserve">Li ions partially replace </w:t>
      </w:r>
      <w:r w:rsidR="00DB6B4C" w:rsidRPr="00DB6B4C">
        <w:rPr>
          <w:rFonts w:ascii="Arial" w:hAnsi="Arial" w:cs="Arial"/>
          <w:sz w:val="20"/>
          <w:szCs w:val="20"/>
          <w:vertAlign w:val="superscript"/>
        </w:rPr>
        <w:t>7</w:t>
      </w:r>
      <w:r w:rsidR="00DB6B4C" w:rsidRPr="00DB6B4C">
        <w:rPr>
          <w:rFonts w:ascii="Arial" w:hAnsi="Arial" w:cs="Arial"/>
          <w:sz w:val="20"/>
          <w:szCs w:val="20"/>
        </w:rPr>
        <w:t>Li ions in the composite electrolytes. Therefor</w:t>
      </w:r>
      <w:r w:rsidR="00DB6B4C">
        <w:rPr>
          <w:rFonts w:ascii="Arial" w:hAnsi="Arial" w:cs="Arial"/>
          <w:sz w:val="20"/>
          <w:szCs w:val="20"/>
        </w:rPr>
        <w:t>e, the components comprising Li-</w:t>
      </w:r>
      <w:r w:rsidR="00DB6B4C" w:rsidRPr="00DB6B4C">
        <w:rPr>
          <w:rFonts w:ascii="Arial" w:hAnsi="Arial" w:cs="Arial"/>
          <w:sz w:val="20"/>
          <w:szCs w:val="20"/>
        </w:rPr>
        <w:t>ion transport pat</w:t>
      </w:r>
      <w:r w:rsidR="00DB6B4C" w:rsidRPr="00DB6B4C">
        <w:rPr>
          <w:rFonts w:ascii="Arial" w:hAnsi="Arial" w:cs="Arial"/>
          <w:sz w:val="20"/>
          <w:szCs w:val="20"/>
        </w:rPr>
        <w:t>h</w:t>
      </w:r>
      <w:r w:rsidR="00DB6B4C" w:rsidRPr="00DB6B4C">
        <w:rPr>
          <w:rFonts w:ascii="Arial" w:hAnsi="Arial" w:cs="Arial"/>
          <w:sz w:val="20"/>
          <w:szCs w:val="20"/>
        </w:rPr>
        <w:t xml:space="preserve">ways will be preferentially </w:t>
      </w:r>
      <w:r w:rsidR="00DB6B4C" w:rsidRPr="00DB6B4C">
        <w:rPr>
          <w:rFonts w:ascii="Arial" w:hAnsi="Arial" w:cs="Arial"/>
          <w:sz w:val="20"/>
          <w:szCs w:val="20"/>
          <w:vertAlign w:val="superscript"/>
        </w:rPr>
        <w:t>6</w:t>
      </w:r>
      <w:r w:rsidR="00DB6B4C" w:rsidRPr="00DB6B4C">
        <w:rPr>
          <w:rFonts w:ascii="Arial" w:hAnsi="Arial" w:cs="Arial"/>
          <w:sz w:val="20"/>
          <w:szCs w:val="20"/>
        </w:rPr>
        <w:t>Li-enriched with r</w:t>
      </w:r>
      <w:r w:rsidR="00DB6B4C" w:rsidRPr="00DB6B4C">
        <w:rPr>
          <w:rFonts w:ascii="Arial" w:hAnsi="Arial" w:cs="Arial"/>
          <w:sz w:val="20"/>
          <w:szCs w:val="20"/>
        </w:rPr>
        <w:t>e</w:t>
      </w:r>
      <w:r w:rsidR="00DB6B4C" w:rsidRPr="00DB6B4C">
        <w:rPr>
          <w:rFonts w:ascii="Arial" w:hAnsi="Arial" w:cs="Arial"/>
          <w:sz w:val="20"/>
          <w:szCs w:val="20"/>
        </w:rPr>
        <w:t xml:space="preserve">peated electrochemical cycling. Quantitative evaluation of the change in </w:t>
      </w:r>
      <w:r w:rsidR="00DB6B4C" w:rsidRPr="00DB6B4C">
        <w:rPr>
          <w:rFonts w:ascii="Arial" w:hAnsi="Arial" w:cs="Arial"/>
          <w:sz w:val="20"/>
          <w:szCs w:val="20"/>
          <w:vertAlign w:val="superscript"/>
        </w:rPr>
        <w:t>6</w:t>
      </w:r>
      <w:r w:rsidR="00DB6B4C" w:rsidRPr="00DB6B4C">
        <w:rPr>
          <w:rFonts w:ascii="Arial" w:hAnsi="Arial" w:cs="Arial"/>
          <w:sz w:val="20"/>
          <w:szCs w:val="20"/>
        </w:rPr>
        <w:t xml:space="preserve">Li amount for each component within the composite electrolyte will reveal the preferred pathways for Li-ion transport. </w:t>
      </w:r>
    </w:p>
    <w:p w14:paraId="75E4A126" w14:textId="6AF6102F" w:rsidR="00864321" w:rsidRPr="00A90BAD" w:rsidRDefault="00306BC5" w:rsidP="009C5D0F">
      <w:pPr>
        <w:tabs>
          <w:tab w:val="left" w:pos="360"/>
        </w:tabs>
        <w:ind w:firstLine="284"/>
        <w:rPr>
          <w:rFonts w:ascii="Arial" w:hAnsi="Arial" w:cs="Arial"/>
          <w:sz w:val="20"/>
          <w:szCs w:val="20"/>
        </w:rPr>
      </w:pPr>
      <w:r w:rsidRPr="005F66E7">
        <w:rPr>
          <w:rFonts w:ascii="SimSun" w:eastAsia="SimSun" w:hAnsi="SimSun" w:cs="SimSu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77D07" wp14:editId="26E9622F">
                <wp:simplePos x="0" y="0"/>
                <wp:positionH relativeFrom="column">
                  <wp:posOffset>2952750</wp:posOffset>
                </wp:positionH>
                <wp:positionV relativeFrom="paragraph">
                  <wp:posOffset>155575</wp:posOffset>
                </wp:positionV>
                <wp:extent cx="3474720" cy="238125"/>
                <wp:effectExtent l="0" t="0" r="11430" b="9525"/>
                <wp:wrapThrough wrapText="bothSides">
                  <wp:wrapPolygon edited="0">
                    <wp:start x="0" y="0"/>
                    <wp:lineTo x="0" y="20736"/>
                    <wp:lineTo x="21553" y="20736"/>
                    <wp:lineTo x="21553" y="0"/>
                    <wp:lineTo x="0" y="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454C8" w14:textId="77777777" w:rsidR="00306BC5" w:rsidRDefault="00306BC5" w:rsidP="00306B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Fig.1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Comparison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Li MAS NMR on pristine and tracer-exchanged composite electrolytes and schematic of Li-ion transport pathways.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32.5pt;margin-top:12.25pt;width:273.6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" filled="f" stroked="f">
                <v:textbox inset="0,0,0,0">
                  <w:txbxContent>
                    <w:p w14:paraId="0E5454C8" w14:textId="77777777" w:rsidR="00306BC5" w:rsidRDefault="00306BC5" w:rsidP="00306BC5">
                      <w:pP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</w:rPr>
                        <w:t>Fig.1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 Comparison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Li MAS NMR on pristine and tracer-exchanged composite electrolytes and schematic of Li-ion transport pathways.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6B4C">
        <w:rPr>
          <w:rFonts w:ascii="Arial" w:hAnsi="Arial" w:cs="Arial"/>
          <w:sz w:val="20"/>
          <w:szCs w:val="20"/>
        </w:rPr>
        <w:t xml:space="preserve">The results are depicted </w:t>
      </w:r>
      <w:r w:rsidR="00DB6B4C">
        <w:rPr>
          <w:rFonts w:ascii="Arial" w:hAnsi="Arial" w:cs="Arial" w:hint="eastAsia"/>
          <w:sz w:val="20"/>
          <w:szCs w:val="20"/>
        </w:rPr>
        <w:t xml:space="preserve">in the schematic </w:t>
      </w:r>
      <w:r w:rsidR="00DB6B4C">
        <w:rPr>
          <w:rFonts w:ascii="Arial" w:hAnsi="Arial" w:cs="Arial"/>
          <w:sz w:val="20"/>
          <w:szCs w:val="20"/>
        </w:rPr>
        <w:t>d</w:t>
      </w:r>
      <w:r w:rsidR="00DB6B4C">
        <w:rPr>
          <w:rFonts w:ascii="Arial" w:hAnsi="Arial" w:cs="Arial"/>
          <w:sz w:val="20"/>
          <w:szCs w:val="20"/>
        </w:rPr>
        <w:t>i</w:t>
      </w:r>
      <w:r w:rsidR="00DB6B4C">
        <w:rPr>
          <w:rFonts w:ascii="Arial" w:hAnsi="Arial" w:cs="Arial"/>
          <w:sz w:val="20"/>
          <w:szCs w:val="20"/>
        </w:rPr>
        <w:t>agram of Li-ion pathways. W</w:t>
      </w:r>
      <w:r w:rsidR="00DB6B4C" w:rsidRPr="00DB6B4C">
        <w:rPr>
          <w:rFonts w:ascii="Arial" w:hAnsi="Arial" w:cs="Arial"/>
          <w:sz w:val="20"/>
          <w:szCs w:val="20"/>
        </w:rPr>
        <w:t>ith low LLZO co</w:t>
      </w:r>
      <w:r w:rsidR="00DB6B4C" w:rsidRPr="00DB6B4C">
        <w:rPr>
          <w:rFonts w:ascii="Arial" w:hAnsi="Arial" w:cs="Arial"/>
          <w:sz w:val="20"/>
          <w:szCs w:val="20"/>
        </w:rPr>
        <w:t>n</w:t>
      </w:r>
      <w:r w:rsidR="00DB6B4C" w:rsidRPr="00DB6B4C">
        <w:rPr>
          <w:rFonts w:ascii="Arial" w:hAnsi="Arial" w:cs="Arial"/>
          <w:sz w:val="20"/>
          <w:szCs w:val="20"/>
        </w:rPr>
        <w:t xml:space="preserve">tent (&lt; 20 </w:t>
      </w:r>
      <w:proofErr w:type="spellStart"/>
      <w:r w:rsidR="00DB6B4C" w:rsidRPr="00DB6B4C">
        <w:rPr>
          <w:rFonts w:ascii="Arial" w:hAnsi="Arial" w:cs="Arial"/>
          <w:sz w:val="20"/>
          <w:szCs w:val="20"/>
        </w:rPr>
        <w:t>wt</w:t>
      </w:r>
      <w:proofErr w:type="spellEnd"/>
      <w:r w:rsidR="00DB6B4C" w:rsidRPr="00DB6B4C">
        <w:rPr>
          <w:rFonts w:ascii="Arial" w:hAnsi="Arial" w:cs="Arial"/>
          <w:sz w:val="20"/>
          <w:szCs w:val="20"/>
        </w:rPr>
        <w:t xml:space="preserve"> %), LLZO-PEO (</w:t>
      </w:r>
      <w:proofErr w:type="spellStart"/>
      <w:r w:rsidR="00DB6B4C" w:rsidRPr="00DB6B4C">
        <w:rPr>
          <w:rFonts w:ascii="Arial" w:hAnsi="Arial" w:cs="Arial"/>
          <w:sz w:val="20"/>
          <w:szCs w:val="20"/>
        </w:rPr>
        <w:t>LiTFSI</w:t>
      </w:r>
      <w:proofErr w:type="spellEnd"/>
      <w:r w:rsidR="00DB6B4C" w:rsidRPr="00DB6B4C">
        <w:rPr>
          <w:rFonts w:ascii="Arial" w:hAnsi="Arial" w:cs="Arial"/>
          <w:sz w:val="20"/>
          <w:szCs w:val="20"/>
        </w:rPr>
        <w:t>) composites behave as a polymer electrolyte modified by LLZO. With increasing</w:t>
      </w:r>
      <w:r w:rsidR="003D0B92">
        <w:rPr>
          <w:rFonts w:ascii="Arial" w:hAnsi="Arial" w:cs="Arial"/>
          <w:sz w:val="20"/>
          <w:szCs w:val="20"/>
        </w:rPr>
        <w:t xml:space="preserve"> amount of </w:t>
      </w:r>
      <w:r w:rsidR="00DB6B4C" w:rsidRPr="00DB6B4C">
        <w:rPr>
          <w:rFonts w:ascii="Arial" w:hAnsi="Arial" w:cs="Arial"/>
          <w:sz w:val="20"/>
          <w:szCs w:val="20"/>
        </w:rPr>
        <w:t>LLZO to a critical point, LLZO pa</w:t>
      </w:r>
      <w:r w:rsidR="00DB6B4C" w:rsidRPr="00DB6B4C">
        <w:rPr>
          <w:rFonts w:ascii="Arial" w:hAnsi="Arial" w:cs="Arial"/>
          <w:sz w:val="20"/>
          <w:szCs w:val="20"/>
        </w:rPr>
        <w:t>r</w:t>
      </w:r>
      <w:r w:rsidR="00DB6B4C" w:rsidRPr="00DB6B4C">
        <w:rPr>
          <w:rFonts w:ascii="Arial" w:hAnsi="Arial" w:cs="Arial"/>
          <w:sz w:val="20"/>
          <w:szCs w:val="20"/>
        </w:rPr>
        <w:t>ticles connect to form a percolated network, thus LLZO-PEO (</w:t>
      </w:r>
      <w:proofErr w:type="spellStart"/>
      <w:r w:rsidR="00DB6B4C" w:rsidRPr="00DB6B4C">
        <w:rPr>
          <w:rFonts w:ascii="Arial" w:hAnsi="Arial" w:cs="Arial"/>
          <w:sz w:val="20"/>
          <w:szCs w:val="20"/>
        </w:rPr>
        <w:t>LiTFSI</w:t>
      </w:r>
      <w:proofErr w:type="spellEnd"/>
      <w:r w:rsidR="00DB6B4C" w:rsidRPr="00DB6B4C">
        <w:rPr>
          <w:rFonts w:ascii="Arial" w:hAnsi="Arial" w:cs="Arial"/>
          <w:sz w:val="20"/>
          <w:szCs w:val="20"/>
        </w:rPr>
        <w:t>) composites function as a ceramic electr</w:t>
      </w:r>
      <w:r w:rsidR="00DB6B4C" w:rsidRPr="00DB6B4C">
        <w:rPr>
          <w:rFonts w:ascii="Arial" w:hAnsi="Arial" w:cs="Arial"/>
          <w:sz w:val="20"/>
          <w:szCs w:val="20"/>
        </w:rPr>
        <w:t>o</w:t>
      </w:r>
      <w:r w:rsidR="00DB6B4C" w:rsidRPr="00DB6B4C">
        <w:rPr>
          <w:rFonts w:ascii="Arial" w:hAnsi="Arial" w:cs="Arial"/>
          <w:sz w:val="20"/>
          <w:szCs w:val="20"/>
        </w:rPr>
        <w:t xml:space="preserve">lyte. </w:t>
      </w:r>
      <w:r w:rsidR="007E6E2E">
        <w:rPr>
          <w:rFonts w:ascii="Arial" w:hAnsi="Arial" w:cs="Arial"/>
          <w:sz w:val="20"/>
          <w:szCs w:val="20"/>
        </w:rPr>
        <w:t>Moreover, w</w:t>
      </w:r>
      <w:r w:rsidR="007E6E2E" w:rsidRPr="007E6E2E">
        <w:rPr>
          <w:rFonts w:ascii="Arial" w:hAnsi="Arial" w:cs="Arial"/>
          <w:sz w:val="20"/>
          <w:szCs w:val="20"/>
        </w:rPr>
        <w:t xml:space="preserve">ith </w:t>
      </w:r>
      <w:r w:rsidR="007E6E2E">
        <w:rPr>
          <w:rFonts w:ascii="Arial" w:hAnsi="Arial" w:cs="Arial"/>
          <w:sz w:val="20"/>
          <w:szCs w:val="20"/>
        </w:rPr>
        <w:t xml:space="preserve">the additive, </w:t>
      </w:r>
      <w:proofErr w:type="spellStart"/>
      <w:r w:rsidR="007E6E2E" w:rsidRPr="007E6E2E">
        <w:rPr>
          <w:rFonts w:ascii="Arial" w:hAnsi="Arial" w:cs="Arial"/>
          <w:sz w:val="20"/>
          <w:szCs w:val="20"/>
        </w:rPr>
        <w:t>tetr</w:t>
      </w:r>
      <w:r w:rsidR="007E6E2E">
        <w:rPr>
          <w:rFonts w:ascii="Arial" w:hAnsi="Arial" w:cs="Arial"/>
          <w:sz w:val="20"/>
          <w:szCs w:val="20"/>
        </w:rPr>
        <w:t>aethylene</w:t>
      </w:r>
      <w:proofErr w:type="spellEnd"/>
      <w:r w:rsidR="007E6E2E">
        <w:rPr>
          <w:rFonts w:ascii="Arial" w:hAnsi="Arial" w:cs="Arial"/>
          <w:sz w:val="20"/>
          <w:szCs w:val="20"/>
        </w:rPr>
        <w:t xml:space="preserve"> glycol dimethyl ether (TEGDME), Li-</w:t>
      </w:r>
      <w:r w:rsidR="007E6E2E" w:rsidRPr="007E6E2E">
        <w:rPr>
          <w:rFonts w:ascii="Arial" w:hAnsi="Arial" w:cs="Arial"/>
          <w:sz w:val="20"/>
          <w:szCs w:val="20"/>
        </w:rPr>
        <w:t>ion conduction is mainly through TEGDME-modified polymer phase. The presence of TEGDME additive in PEO has been sh</w:t>
      </w:r>
      <w:r w:rsidR="00B164E0">
        <w:rPr>
          <w:rFonts w:ascii="Arial" w:hAnsi="Arial" w:cs="Arial"/>
          <w:sz w:val="20"/>
          <w:szCs w:val="20"/>
        </w:rPr>
        <w:t>own to signi</w:t>
      </w:r>
      <w:r w:rsidR="00B164E0">
        <w:rPr>
          <w:rFonts w:ascii="Arial" w:hAnsi="Arial" w:cs="Arial"/>
          <w:sz w:val="20"/>
          <w:szCs w:val="20"/>
        </w:rPr>
        <w:t>f</w:t>
      </w:r>
      <w:r w:rsidR="00B164E0">
        <w:rPr>
          <w:rFonts w:ascii="Arial" w:hAnsi="Arial" w:cs="Arial"/>
          <w:sz w:val="20"/>
          <w:szCs w:val="20"/>
        </w:rPr>
        <w:t>icantly enhance Li-</w:t>
      </w:r>
      <w:r w:rsidR="007E6E2E" w:rsidRPr="007E6E2E">
        <w:rPr>
          <w:rFonts w:ascii="Arial" w:hAnsi="Arial" w:cs="Arial"/>
          <w:sz w:val="20"/>
          <w:szCs w:val="20"/>
        </w:rPr>
        <w:t xml:space="preserve">ion conduction. </w:t>
      </w:r>
    </w:p>
    <w:p w14:paraId="63AA3BB1" w14:textId="1CD74094" w:rsidR="00E25473" w:rsidRDefault="00E25473" w:rsidP="009C5D0F">
      <w:pPr>
        <w:tabs>
          <w:tab w:val="left" w:pos="360"/>
        </w:tabs>
        <w:spacing w:beforeLines="50"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4849B689" w14:textId="70D027BD" w:rsidR="00734E94" w:rsidRPr="006B3824" w:rsidRDefault="00093EDC" w:rsidP="009C5D0F">
      <w:pPr>
        <w:tabs>
          <w:tab w:val="left" w:pos="360"/>
        </w:tabs>
        <w:ind w:firstLineChars="142" w:firstLine="284"/>
        <w:rPr>
          <w:rFonts w:ascii="Arial" w:hAnsi="Arial" w:cs="Arial"/>
          <w:sz w:val="20"/>
          <w:szCs w:val="20"/>
        </w:rPr>
      </w:pPr>
      <w:r w:rsidRPr="00093EDC">
        <w:rPr>
          <w:rFonts w:ascii="Arial" w:hAnsi="Arial" w:cs="Arial"/>
          <w:sz w:val="20"/>
          <w:szCs w:val="20"/>
        </w:rPr>
        <w:t xml:space="preserve">The study has employed </w:t>
      </w:r>
      <w:r w:rsidR="00B0023B">
        <w:rPr>
          <w:rFonts w:ascii="Arial" w:hAnsi="Arial" w:cs="Arial"/>
          <w:sz w:val="20"/>
          <w:szCs w:val="20"/>
        </w:rPr>
        <w:t>tracer-</w:t>
      </w:r>
      <w:r>
        <w:rPr>
          <w:rFonts w:ascii="Arial" w:hAnsi="Arial" w:cs="Arial"/>
          <w:sz w:val="20"/>
          <w:szCs w:val="20"/>
        </w:rPr>
        <w:t>exchange NMR</w:t>
      </w:r>
      <w:r w:rsidRPr="00093EDC">
        <w:rPr>
          <w:rFonts w:ascii="Arial" w:hAnsi="Arial" w:cs="Arial"/>
          <w:sz w:val="20"/>
          <w:szCs w:val="20"/>
        </w:rPr>
        <w:t xml:space="preserve"> to determine </w:t>
      </w:r>
      <w:r>
        <w:rPr>
          <w:rFonts w:ascii="Arial" w:hAnsi="Arial" w:cs="Arial"/>
          <w:sz w:val="20"/>
          <w:szCs w:val="20"/>
        </w:rPr>
        <w:t xml:space="preserve">Li-ion transport pathways </w:t>
      </w:r>
      <w:r w:rsidR="00524CE8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typical </w:t>
      </w:r>
      <w:r w:rsidRPr="00093EDC">
        <w:rPr>
          <w:rFonts w:ascii="Arial" w:hAnsi="Arial" w:cs="Arial"/>
          <w:sz w:val="20"/>
          <w:szCs w:val="20"/>
        </w:rPr>
        <w:t xml:space="preserve">LLZO-PEO composite electrolytes </w:t>
      </w:r>
      <w:r>
        <w:rPr>
          <w:rFonts w:ascii="Arial" w:hAnsi="Arial" w:cs="Arial"/>
          <w:sz w:val="20"/>
          <w:szCs w:val="20"/>
        </w:rPr>
        <w:t>with various compositions.</w:t>
      </w:r>
      <w:r w:rsidRPr="00093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093EDC">
        <w:rPr>
          <w:rFonts w:ascii="Arial" w:hAnsi="Arial" w:cs="Arial"/>
          <w:sz w:val="20"/>
          <w:szCs w:val="20"/>
        </w:rPr>
        <w:t xml:space="preserve">his </w:t>
      </w:r>
      <w:r w:rsidR="00167311">
        <w:rPr>
          <w:rFonts w:ascii="Arial" w:hAnsi="Arial" w:cs="Arial"/>
          <w:sz w:val="20"/>
          <w:szCs w:val="20"/>
        </w:rPr>
        <w:t>study</w:t>
      </w:r>
      <w:r w:rsidRPr="00093EDC">
        <w:rPr>
          <w:rFonts w:ascii="Arial" w:hAnsi="Arial" w:cs="Arial"/>
          <w:sz w:val="20"/>
          <w:szCs w:val="20"/>
        </w:rPr>
        <w:t xml:space="preserve"> demonstrates </w:t>
      </w:r>
      <w:r w:rsidR="00B0023B">
        <w:rPr>
          <w:rFonts w:ascii="Arial" w:hAnsi="Arial" w:cs="Arial"/>
          <w:sz w:val="20"/>
          <w:szCs w:val="20"/>
        </w:rPr>
        <w:t xml:space="preserve">that </w:t>
      </w:r>
      <w:r w:rsidRPr="00093EDC">
        <w:rPr>
          <w:rFonts w:ascii="Arial" w:hAnsi="Arial" w:cs="Arial"/>
          <w:sz w:val="20"/>
          <w:szCs w:val="20"/>
        </w:rPr>
        <w:t>solid-state NMR is a particularly useful tool for determining th</w:t>
      </w:r>
      <w:r w:rsidR="00B0023B">
        <w:rPr>
          <w:rFonts w:ascii="Arial" w:hAnsi="Arial" w:cs="Arial"/>
          <w:sz w:val="20"/>
          <w:szCs w:val="20"/>
        </w:rPr>
        <w:t>e contributing factors for ion</w:t>
      </w:r>
      <w:r w:rsidRPr="00093EDC">
        <w:rPr>
          <w:rFonts w:ascii="Arial" w:hAnsi="Arial" w:cs="Arial"/>
          <w:sz w:val="20"/>
          <w:szCs w:val="20"/>
        </w:rPr>
        <w:t xml:space="preserve"> conduction. The methodology and results from this work will facilitate the development of high-performance composite elect</w:t>
      </w:r>
      <w:r w:rsidR="00524CE8">
        <w:rPr>
          <w:rFonts w:ascii="Arial" w:hAnsi="Arial" w:cs="Arial"/>
          <w:sz w:val="20"/>
          <w:szCs w:val="20"/>
        </w:rPr>
        <w:t>rolytes for rechargeable solid-</w:t>
      </w:r>
      <w:r w:rsidRPr="00093EDC">
        <w:rPr>
          <w:rFonts w:ascii="Arial" w:hAnsi="Arial" w:cs="Arial"/>
          <w:sz w:val="20"/>
          <w:szCs w:val="20"/>
        </w:rPr>
        <w:t xml:space="preserve">state batteries. </w:t>
      </w:r>
    </w:p>
    <w:p w14:paraId="4EEC90D7" w14:textId="77777777" w:rsidR="00FB4399" w:rsidRDefault="00E25473" w:rsidP="00A90BAD">
      <w:pPr>
        <w:tabs>
          <w:tab w:val="left" w:pos="360"/>
        </w:tabs>
        <w:spacing w:beforeLines="50"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3C620D36" w14:textId="71F7366A" w:rsidR="00E25473" w:rsidRPr="00A90BAD" w:rsidRDefault="00155117" w:rsidP="009C5D0F">
      <w:pPr>
        <w:tabs>
          <w:tab w:val="left" w:pos="360"/>
        </w:tabs>
        <w:ind w:firstLineChars="142" w:firstLine="284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n-US"/>
        </w:rPr>
        <w:t xml:space="preserve">Financial support from </w:t>
      </w:r>
      <w:r w:rsidR="00011D76">
        <w:rPr>
          <w:rFonts w:ascii="Arial" w:eastAsia="Times New Roman" w:hAnsi="Arial" w:cs="Arial"/>
          <w:sz w:val="20"/>
          <w:szCs w:val="20"/>
          <w:lang w:eastAsia="en-US"/>
        </w:rPr>
        <w:t xml:space="preserve">NSF </w:t>
      </w:r>
      <w:r w:rsidRPr="00B6451B">
        <w:rPr>
          <w:rFonts w:ascii="Arial" w:eastAsia="Times New Roman" w:hAnsi="Arial" w:cs="Arial"/>
          <w:sz w:val="20"/>
          <w:szCs w:val="20"/>
          <w:lang w:eastAsia="en-US"/>
        </w:rPr>
        <w:t>DM</w:t>
      </w:r>
      <w:r w:rsidR="00011D76">
        <w:rPr>
          <w:rFonts w:ascii="Arial" w:eastAsia="Times New Roman" w:hAnsi="Arial" w:cs="Arial"/>
          <w:sz w:val="20"/>
          <w:szCs w:val="20"/>
          <w:lang w:eastAsia="en-US"/>
        </w:rPr>
        <w:t>R-1553519, CBET-1340269, DMR-1</w:t>
      </w:r>
      <w:r w:rsidR="00B10428">
        <w:rPr>
          <w:rFonts w:ascii="Arial" w:eastAsia="Times New Roman" w:hAnsi="Arial" w:cs="Arial"/>
          <w:sz w:val="20"/>
          <w:szCs w:val="20"/>
          <w:lang w:eastAsia="en-US"/>
        </w:rPr>
        <w:t xml:space="preserve">508404, and </w:t>
      </w:r>
      <w:r w:rsidR="00B10428" w:rsidRPr="00B10428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="00011D76">
        <w:rPr>
          <w:rFonts w:ascii="Arial" w:eastAsia="Times New Roman" w:hAnsi="Arial" w:cs="Arial"/>
          <w:sz w:val="20"/>
          <w:szCs w:val="20"/>
          <w:lang w:eastAsia="en-US"/>
        </w:rPr>
        <w:t xml:space="preserve">AAAS </w:t>
      </w:r>
      <w:r w:rsidR="00B10428" w:rsidRPr="00B10428">
        <w:rPr>
          <w:rFonts w:ascii="Arial" w:eastAsia="Times New Roman" w:hAnsi="Arial" w:cs="Arial"/>
          <w:sz w:val="20"/>
          <w:szCs w:val="20"/>
          <w:lang w:eastAsia="en-US"/>
        </w:rPr>
        <w:t>Marion Milligan Mason Award</w:t>
      </w:r>
      <w:r w:rsidR="00011D7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011D76">
        <w:rPr>
          <w:rFonts w:ascii="Arial" w:eastAsia="Times New Roman" w:hAnsi="Arial" w:cs="Arial"/>
          <w:sz w:val="20"/>
          <w:szCs w:val="20"/>
          <w:lang w:eastAsia="en-US"/>
        </w:rPr>
        <w:t xml:space="preserve"> W</w:t>
      </w:r>
      <w:r w:rsidR="003D0B92" w:rsidRPr="00334CEB">
        <w:rPr>
          <w:rFonts w:ascii="Arial" w:eastAsia="Times New Roman" w:hAnsi="Arial" w:cs="Arial"/>
          <w:sz w:val="20"/>
          <w:szCs w:val="20"/>
          <w:lang w:eastAsia="en-US"/>
        </w:rPr>
        <w:t>ork was performed at the N</w:t>
      </w:r>
      <w:r w:rsidR="003D0B92">
        <w:rPr>
          <w:rFonts w:ascii="Arial" w:eastAsia="Times New Roman" w:hAnsi="Arial" w:cs="Arial"/>
          <w:sz w:val="20"/>
          <w:szCs w:val="20"/>
          <w:lang w:eastAsia="en-US"/>
        </w:rPr>
        <w:t xml:space="preserve">HMFL </w:t>
      </w:r>
      <w:r w:rsidR="001A4F19">
        <w:rPr>
          <w:rFonts w:ascii="Arial" w:eastAsia="Times New Roman" w:hAnsi="Arial" w:cs="Arial"/>
          <w:sz w:val="20"/>
          <w:szCs w:val="20"/>
          <w:lang w:eastAsia="en-US"/>
        </w:rPr>
        <w:t>supported by</w:t>
      </w:r>
      <w:bookmarkStart w:id="3" w:name="_GoBack"/>
      <w:bookmarkEnd w:id="3"/>
      <w:r w:rsidR="00011D76">
        <w:rPr>
          <w:rFonts w:ascii="Arial" w:eastAsia="Times New Roman" w:hAnsi="Arial" w:cs="Arial"/>
          <w:sz w:val="20"/>
          <w:szCs w:val="20"/>
          <w:lang w:eastAsia="en-US"/>
        </w:rPr>
        <w:t xml:space="preserve"> NSF </w:t>
      </w:r>
      <w:r w:rsidR="003D0B92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3D0B92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D0B92">
        <w:rPr>
          <w:rFonts w:ascii="Arial" w:eastAsia="Times New Roman" w:hAnsi="Arial" w:cs="Arial"/>
          <w:sz w:val="20"/>
          <w:szCs w:val="20"/>
          <w:lang w:eastAsia="en-US"/>
        </w:rPr>
        <w:t xml:space="preserve">e of Florida.  </w:t>
      </w:r>
    </w:p>
    <w:p w14:paraId="5E0C91CC" w14:textId="6FA3310F" w:rsidR="00167311" w:rsidRPr="003D0B92" w:rsidRDefault="00E25473" w:rsidP="00A90BAD">
      <w:pPr>
        <w:tabs>
          <w:tab w:val="left" w:pos="360"/>
        </w:tabs>
        <w:spacing w:beforeLines="50" w:before="120"/>
        <w:rPr>
          <w:rFonts w:ascii="Arial" w:hAnsi="Arial" w:cs="Arial"/>
          <w:sz w:val="20"/>
          <w:szCs w:val="20"/>
        </w:rPr>
      </w:pPr>
      <w:r w:rsidRPr="003D0B92">
        <w:rPr>
          <w:rFonts w:ascii="Arial" w:hAnsi="Arial" w:cs="Arial"/>
          <w:b/>
          <w:sz w:val="20"/>
          <w:szCs w:val="20"/>
        </w:rPr>
        <w:t>References</w:t>
      </w:r>
    </w:p>
    <w:p w14:paraId="19E81A1C" w14:textId="10FE4A56" w:rsidR="00167311" w:rsidRPr="003D0B92" w:rsidRDefault="00F9693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D0B92">
        <w:rPr>
          <w:rFonts w:ascii="Arial" w:hAnsi="Arial" w:cs="Arial"/>
          <w:sz w:val="20"/>
          <w:szCs w:val="20"/>
        </w:rPr>
        <w:t>[1]</w:t>
      </w:r>
      <w:bookmarkStart w:id="4" w:name="OLE_LINK6"/>
      <w:bookmarkStart w:id="5" w:name="OLE_LINK7"/>
      <w:r w:rsidRPr="003D0B92">
        <w:rPr>
          <w:rFonts w:ascii="Arial" w:hAnsi="Arial" w:cs="Arial"/>
          <w:sz w:val="20"/>
          <w:szCs w:val="20"/>
        </w:rPr>
        <w:tab/>
      </w:r>
      <w:bookmarkEnd w:id="4"/>
      <w:bookmarkEnd w:id="5"/>
      <w:r w:rsidR="00925E7D" w:rsidRPr="003D0B92">
        <w:rPr>
          <w:rFonts w:ascii="Arial" w:hAnsi="Arial" w:cs="Arial"/>
          <w:sz w:val="20"/>
          <w:szCs w:val="20"/>
        </w:rPr>
        <w:t>Zheng</w:t>
      </w:r>
      <w:r w:rsidR="00164BC3" w:rsidRPr="003D0B92">
        <w:rPr>
          <w:rFonts w:ascii="Arial" w:hAnsi="Arial" w:cs="Arial"/>
          <w:sz w:val="20"/>
          <w:szCs w:val="20"/>
        </w:rPr>
        <w:t>, J.,</w:t>
      </w:r>
      <w:bookmarkStart w:id="6" w:name="OLE_LINK4"/>
      <w:bookmarkStart w:id="7" w:name="OLE_LINK5"/>
      <w:r w:rsidR="001060A3" w:rsidRPr="003D0B92">
        <w:rPr>
          <w:rFonts w:ascii="Arial" w:hAnsi="Arial" w:cs="Arial"/>
          <w:sz w:val="20"/>
          <w:szCs w:val="20"/>
        </w:rPr>
        <w:t xml:space="preserve"> </w:t>
      </w:r>
      <w:r w:rsidR="003D0B92" w:rsidRPr="003D0B92">
        <w:rPr>
          <w:rFonts w:ascii="Arial" w:hAnsi="Arial" w:cs="Arial"/>
          <w:i/>
          <w:sz w:val="20"/>
          <w:szCs w:val="20"/>
        </w:rPr>
        <w:t>et al.,</w:t>
      </w:r>
      <w:r w:rsidR="003D0B92">
        <w:rPr>
          <w:rFonts w:ascii="Arial" w:hAnsi="Arial" w:cs="Arial"/>
          <w:sz w:val="20"/>
          <w:szCs w:val="20"/>
        </w:rPr>
        <w:t xml:space="preserve"> </w:t>
      </w:r>
      <w:bookmarkEnd w:id="6"/>
      <w:bookmarkEnd w:id="7"/>
      <w:proofErr w:type="spellStart"/>
      <w:r w:rsidR="00925E7D" w:rsidRPr="003D0B92">
        <w:rPr>
          <w:rFonts w:ascii="Arial" w:hAnsi="Arial" w:cs="Arial"/>
          <w:sz w:val="20"/>
          <w:szCs w:val="20"/>
        </w:rPr>
        <w:t>Angew</w:t>
      </w:r>
      <w:proofErr w:type="spellEnd"/>
      <w:r w:rsidR="00925E7D" w:rsidRPr="003D0B92">
        <w:rPr>
          <w:rFonts w:ascii="Arial" w:hAnsi="Arial" w:cs="Arial"/>
          <w:sz w:val="20"/>
          <w:szCs w:val="20"/>
        </w:rPr>
        <w:t>. Chem. Int. Ed.</w:t>
      </w:r>
      <w:r w:rsidR="00164BC3" w:rsidRPr="003D0B92">
        <w:rPr>
          <w:rFonts w:ascii="Arial" w:hAnsi="Arial" w:cs="Arial"/>
          <w:sz w:val="20"/>
          <w:szCs w:val="20"/>
        </w:rPr>
        <w:t xml:space="preserve">, </w:t>
      </w:r>
      <w:r w:rsidR="00925E7D" w:rsidRPr="003D0B92">
        <w:rPr>
          <w:rFonts w:ascii="Arial" w:hAnsi="Arial" w:cs="Arial"/>
          <w:b/>
          <w:sz w:val="20"/>
          <w:szCs w:val="20"/>
        </w:rPr>
        <w:t>55</w:t>
      </w:r>
      <w:r w:rsidR="00925E7D" w:rsidRPr="003D0B92">
        <w:rPr>
          <w:rFonts w:ascii="Arial" w:hAnsi="Arial" w:cs="Arial"/>
          <w:sz w:val="20"/>
          <w:szCs w:val="20"/>
        </w:rPr>
        <w:t>, 12538-12542 (2016</w:t>
      </w:r>
      <w:r w:rsidR="00164BC3" w:rsidRPr="003D0B92">
        <w:rPr>
          <w:rFonts w:ascii="Arial" w:hAnsi="Arial" w:cs="Arial"/>
          <w:sz w:val="20"/>
          <w:szCs w:val="20"/>
        </w:rPr>
        <w:t>).</w:t>
      </w:r>
      <w:r w:rsidR="009C5D0F">
        <w:rPr>
          <w:rFonts w:ascii="Arial" w:hAnsi="Arial" w:cs="Arial"/>
          <w:sz w:val="20"/>
          <w:szCs w:val="20"/>
        </w:rPr>
        <w:t xml:space="preserve"> </w:t>
      </w:r>
      <w:r w:rsidR="00011D76">
        <w:rPr>
          <w:rFonts w:ascii="Arial" w:hAnsi="Arial" w:cs="Arial"/>
          <w:sz w:val="20"/>
          <w:szCs w:val="20"/>
        </w:rPr>
        <w:t xml:space="preserve">  </w:t>
      </w:r>
      <w:r w:rsidR="00167311" w:rsidRPr="003D0B92">
        <w:rPr>
          <w:rFonts w:ascii="Arial" w:hAnsi="Arial" w:cs="Arial" w:hint="eastAsia"/>
          <w:sz w:val="20"/>
          <w:szCs w:val="20"/>
        </w:rPr>
        <w:t>[</w:t>
      </w:r>
      <w:r w:rsidR="00167311" w:rsidRPr="003D0B92">
        <w:rPr>
          <w:rFonts w:ascii="Arial" w:hAnsi="Arial" w:cs="Arial"/>
          <w:sz w:val="20"/>
          <w:szCs w:val="20"/>
        </w:rPr>
        <w:t>2</w:t>
      </w:r>
      <w:r w:rsidR="00167311" w:rsidRPr="003D0B92">
        <w:rPr>
          <w:rFonts w:ascii="Arial" w:hAnsi="Arial" w:cs="Arial" w:hint="eastAsia"/>
          <w:sz w:val="20"/>
          <w:szCs w:val="20"/>
        </w:rPr>
        <w:t>]</w:t>
      </w:r>
      <w:r w:rsidR="00167311" w:rsidRPr="003D0B92">
        <w:rPr>
          <w:rFonts w:ascii="Arial" w:hAnsi="Arial" w:cs="Arial"/>
          <w:sz w:val="20"/>
          <w:szCs w:val="20"/>
        </w:rPr>
        <w:t xml:space="preserve"> Zheng, J., </w:t>
      </w:r>
      <w:r w:rsidR="003D0B92" w:rsidRPr="003D0B92">
        <w:rPr>
          <w:rFonts w:ascii="Arial" w:hAnsi="Arial" w:cs="Arial"/>
          <w:i/>
          <w:sz w:val="20"/>
          <w:szCs w:val="20"/>
        </w:rPr>
        <w:t>et al.,</w:t>
      </w:r>
      <w:r w:rsidR="003D0B92">
        <w:rPr>
          <w:rFonts w:ascii="Arial" w:hAnsi="Arial" w:cs="Arial"/>
          <w:sz w:val="20"/>
          <w:szCs w:val="20"/>
        </w:rPr>
        <w:t xml:space="preserve"> </w:t>
      </w:r>
      <w:r w:rsidR="00167311" w:rsidRPr="003D0B92">
        <w:rPr>
          <w:rFonts w:ascii="Arial" w:hAnsi="Arial" w:cs="Arial"/>
          <w:sz w:val="20"/>
          <w:szCs w:val="20"/>
        </w:rPr>
        <w:t xml:space="preserve">J. Mater. </w:t>
      </w:r>
      <w:proofErr w:type="gramStart"/>
      <w:r w:rsidR="00167311" w:rsidRPr="003D0B92">
        <w:rPr>
          <w:rFonts w:ascii="Arial" w:hAnsi="Arial" w:cs="Arial"/>
          <w:sz w:val="20"/>
          <w:szCs w:val="20"/>
        </w:rPr>
        <w:t>Chem.</w:t>
      </w:r>
      <w:proofErr w:type="gramEnd"/>
      <w:r w:rsidR="00167311" w:rsidRPr="003D0B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7311" w:rsidRPr="003D0B92">
        <w:rPr>
          <w:rFonts w:ascii="Arial" w:hAnsi="Arial" w:cs="Arial"/>
          <w:sz w:val="20"/>
          <w:szCs w:val="20"/>
        </w:rPr>
        <w:t xml:space="preserve">A, </w:t>
      </w:r>
      <w:r w:rsidR="00167311" w:rsidRPr="003D0B92">
        <w:rPr>
          <w:rFonts w:ascii="Arial" w:hAnsi="Arial" w:cs="Arial"/>
          <w:b/>
          <w:sz w:val="20"/>
          <w:szCs w:val="20"/>
        </w:rPr>
        <w:t>5</w:t>
      </w:r>
      <w:r w:rsidR="00167311" w:rsidRPr="003D0B92">
        <w:rPr>
          <w:rFonts w:ascii="Arial" w:hAnsi="Arial" w:cs="Arial"/>
          <w:sz w:val="20"/>
          <w:szCs w:val="20"/>
        </w:rPr>
        <w:t>, 18457–18463 (2017).</w:t>
      </w:r>
      <w:proofErr w:type="gramEnd"/>
      <w:r w:rsidR="00011D76">
        <w:rPr>
          <w:rFonts w:ascii="Arial" w:hAnsi="Arial" w:cs="Arial"/>
          <w:sz w:val="20"/>
          <w:szCs w:val="20"/>
        </w:rPr>
        <w:t xml:space="preserve">   </w:t>
      </w:r>
      <w:r w:rsidR="00167311" w:rsidRPr="003D0B92">
        <w:rPr>
          <w:rFonts w:ascii="Arial" w:hAnsi="Arial" w:cs="Arial"/>
          <w:sz w:val="20"/>
          <w:szCs w:val="20"/>
        </w:rPr>
        <w:t>[3</w:t>
      </w:r>
      <w:proofErr w:type="gramStart"/>
      <w:r w:rsidR="00167311" w:rsidRPr="003D0B92">
        <w:rPr>
          <w:rFonts w:ascii="Arial" w:hAnsi="Arial" w:cs="Arial"/>
          <w:sz w:val="20"/>
          <w:szCs w:val="20"/>
        </w:rPr>
        <w:t xml:space="preserve">] </w:t>
      </w:r>
      <w:r w:rsidR="00011D76">
        <w:rPr>
          <w:rFonts w:ascii="Arial" w:hAnsi="Arial" w:cs="Arial"/>
          <w:sz w:val="20"/>
          <w:szCs w:val="20"/>
        </w:rPr>
        <w:t xml:space="preserve"> </w:t>
      </w:r>
      <w:r w:rsidR="001060A3" w:rsidRPr="003D0B92">
        <w:rPr>
          <w:rFonts w:ascii="Arial" w:hAnsi="Arial" w:cs="Arial"/>
          <w:sz w:val="20"/>
          <w:szCs w:val="20"/>
        </w:rPr>
        <w:t>Yang</w:t>
      </w:r>
      <w:proofErr w:type="gramEnd"/>
      <w:r w:rsidR="001060A3" w:rsidRPr="003D0B92">
        <w:rPr>
          <w:rFonts w:ascii="Arial" w:hAnsi="Arial" w:cs="Arial"/>
          <w:sz w:val="20"/>
          <w:szCs w:val="20"/>
        </w:rPr>
        <w:t xml:space="preserve">, T., </w:t>
      </w:r>
      <w:r w:rsidR="003D0B92" w:rsidRPr="003D0B92">
        <w:rPr>
          <w:rFonts w:ascii="Arial" w:hAnsi="Arial" w:cs="Arial"/>
          <w:i/>
          <w:sz w:val="20"/>
          <w:szCs w:val="20"/>
        </w:rPr>
        <w:t>et al.,</w:t>
      </w:r>
      <w:r w:rsidR="003D0B92">
        <w:rPr>
          <w:rFonts w:ascii="Arial" w:hAnsi="Arial" w:cs="Arial"/>
          <w:sz w:val="20"/>
          <w:szCs w:val="20"/>
        </w:rPr>
        <w:t xml:space="preserve"> </w:t>
      </w:r>
      <w:r w:rsidR="001060A3" w:rsidRPr="003D0B92">
        <w:rPr>
          <w:rFonts w:ascii="Arial" w:hAnsi="Arial" w:cs="Arial"/>
          <w:iCs/>
          <w:sz w:val="20"/>
          <w:szCs w:val="20"/>
        </w:rPr>
        <w:t xml:space="preserve">ACS Appl. Mater. </w:t>
      </w:r>
      <w:proofErr w:type="gramStart"/>
      <w:r w:rsidR="001060A3" w:rsidRPr="003D0B92">
        <w:rPr>
          <w:rFonts w:ascii="Arial" w:hAnsi="Arial" w:cs="Arial"/>
          <w:iCs/>
          <w:sz w:val="20"/>
          <w:szCs w:val="20"/>
        </w:rPr>
        <w:t>Interfaces,</w:t>
      </w:r>
      <w:r w:rsidR="001060A3" w:rsidRPr="003D0B92">
        <w:rPr>
          <w:rFonts w:ascii="Arial" w:hAnsi="Arial" w:cs="Arial"/>
          <w:sz w:val="20"/>
          <w:szCs w:val="20"/>
        </w:rPr>
        <w:t xml:space="preserve"> </w:t>
      </w:r>
      <w:r w:rsidR="001060A3" w:rsidRPr="003D0B92">
        <w:rPr>
          <w:rFonts w:ascii="Arial" w:hAnsi="Arial" w:cs="Arial"/>
          <w:b/>
          <w:bCs/>
          <w:sz w:val="20"/>
          <w:szCs w:val="20"/>
        </w:rPr>
        <w:t>9</w:t>
      </w:r>
      <w:r w:rsidR="001060A3" w:rsidRPr="00011D76">
        <w:rPr>
          <w:rFonts w:ascii="Arial" w:hAnsi="Arial" w:cs="Arial"/>
          <w:bCs/>
          <w:sz w:val="20"/>
          <w:szCs w:val="20"/>
        </w:rPr>
        <w:t>,</w:t>
      </w:r>
      <w:r w:rsidR="001060A3" w:rsidRPr="003D0B92">
        <w:rPr>
          <w:rFonts w:ascii="Arial" w:hAnsi="Arial" w:cs="Arial"/>
          <w:sz w:val="20"/>
          <w:szCs w:val="20"/>
        </w:rPr>
        <w:t xml:space="preserve"> 21773–21780 (2017).</w:t>
      </w:r>
      <w:proofErr w:type="gramEnd"/>
    </w:p>
    <w:sectPr w:rsidR="00167311" w:rsidRPr="003D0B92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D67F" w14:textId="77777777" w:rsidR="000B02BF" w:rsidRDefault="000B02BF">
      <w:r>
        <w:separator/>
      </w:r>
    </w:p>
  </w:endnote>
  <w:endnote w:type="continuationSeparator" w:id="0">
    <w:p w14:paraId="7AFEC1DD" w14:textId="77777777" w:rsidR="000B02BF" w:rsidRDefault="000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AF5D" w14:textId="77777777" w:rsidR="000B02BF" w:rsidRDefault="000B02BF">
      <w:r>
        <w:separator/>
      </w:r>
    </w:p>
  </w:footnote>
  <w:footnote w:type="continuationSeparator" w:id="0">
    <w:p w14:paraId="64806DD6" w14:textId="77777777" w:rsidR="000B02BF" w:rsidRDefault="000B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A534" w14:textId="77777777" w:rsidR="009F7F13" w:rsidRDefault="009F7F13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8D16D8" wp14:editId="5FB217A9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A66E3" w14:textId="77777777" w:rsidR="00F36CD4" w:rsidRPr="00091A2B" w:rsidRDefault="00F36CD4" w:rsidP="00F36C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6189DCA4" w14:textId="77777777" w:rsidR="00F36CD4" w:rsidRPr="00091A2B" w:rsidRDefault="00F36CD4" w:rsidP="00F36C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14:paraId="5E4355B6" w14:textId="1C853B23" w:rsidR="009F7F13" w:rsidRPr="00F36CD4" w:rsidRDefault="009F7F13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3E3A66E3" w14:textId="77777777" w:rsidR="00F36CD4" w:rsidRPr="00091A2B" w:rsidRDefault="00F36CD4" w:rsidP="00F36CD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6189DCA4" w14:textId="77777777" w:rsidR="00F36CD4" w:rsidRPr="00091A2B" w:rsidRDefault="00F36CD4" w:rsidP="00F36CD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14:paraId="5E4355B6" w14:textId="1C853B23" w:rsidR="009F7F13" w:rsidRPr="00F36CD4" w:rsidRDefault="009F7F13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4E429B44" wp14:editId="6C4B569E">
          <wp:extent cx="519430" cy="628650"/>
          <wp:effectExtent l="0" t="0" r="0" b="635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905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6AC3"/>
    <w:rsid w:val="0000700C"/>
    <w:rsid w:val="00011D76"/>
    <w:rsid w:val="00020C55"/>
    <w:rsid w:val="00025871"/>
    <w:rsid w:val="00033E17"/>
    <w:rsid w:val="00040F67"/>
    <w:rsid w:val="00047754"/>
    <w:rsid w:val="000521C3"/>
    <w:rsid w:val="0005544D"/>
    <w:rsid w:val="000558AC"/>
    <w:rsid w:val="000627BB"/>
    <w:rsid w:val="000736B9"/>
    <w:rsid w:val="00085670"/>
    <w:rsid w:val="00087FB9"/>
    <w:rsid w:val="00093EDC"/>
    <w:rsid w:val="000975AE"/>
    <w:rsid w:val="000A1716"/>
    <w:rsid w:val="000A3FB6"/>
    <w:rsid w:val="000A4DE4"/>
    <w:rsid w:val="000A50C8"/>
    <w:rsid w:val="000A59A8"/>
    <w:rsid w:val="000B02BF"/>
    <w:rsid w:val="000B2DF0"/>
    <w:rsid w:val="000B53D3"/>
    <w:rsid w:val="000D411B"/>
    <w:rsid w:val="000E1D4F"/>
    <w:rsid w:val="00104A4C"/>
    <w:rsid w:val="001060A3"/>
    <w:rsid w:val="00113D92"/>
    <w:rsid w:val="00120180"/>
    <w:rsid w:val="00122796"/>
    <w:rsid w:val="001318CD"/>
    <w:rsid w:val="00137F7D"/>
    <w:rsid w:val="0014131B"/>
    <w:rsid w:val="00141FE9"/>
    <w:rsid w:val="001537CA"/>
    <w:rsid w:val="00154A22"/>
    <w:rsid w:val="00155117"/>
    <w:rsid w:val="00155AD2"/>
    <w:rsid w:val="00156F37"/>
    <w:rsid w:val="00163301"/>
    <w:rsid w:val="00164BC3"/>
    <w:rsid w:val="00167311"/>
    <w:rsid w:val="00167606"/>
    <w:rsid w:val="00182D9E"/>
    <w:rsid w:val="001836FA"/>
    <w:rsid w:val="0018419E"/>
    <w:rsid w:val="0018697C"/>
    <w:rsid w:val="00187023"/>
    <w:rsid w:val="00187ED1"/>
    <w:rsid w:val="00191983"/>
    <w:rsid w:val="001A4F19"/>
    <w:rsid w:val="001A5B4A"/>
    <w:rsid w:val="001A7FFD"/>
    <w:rsid w:val="001B2A86"/>
    <w:rsid w:val="001B3A3B"/>
    <w:rsid w:val="001B5AF9"/>
    <w:rsid w:val="001B65D7"/>
    <w:rsid w:val="001C4773"/>
    <w:rsid w:val="001C508D"/>
    <w:rsid w:val="001D59E4"/>
    <w:rsid w:val="001D66A2"/>
    <w:rsid w:val="001E3005"/>
    <w:rsid w:val="001E526E"/>
    <w:rsid w:val="001E5ECF"/>
    <w:rsid w:val="001E682E"/>
    <w:rsid w:val="001E6A12"/>
    <w:rsid w:val="001E6BF4"/>
    <w:rsid w:val="001E7C6A"/>
    <w:rsid w:val="00200C5C"/>
    <w:rsid w:val="0020358C"/>
    <w:rsid w:val="00221401"/>
    <w:rsid w:val="00221962"/>
    <w:rsid w:val="0022640F"/>
    <w:rsid w:val="00227E9E"/>
    <w:rsid w:val="00231335"/>
    <w:rsid w:val="00233F11"/>
    <w:rsid w:val="00241739"/>
    <w:rsid w:val="002426D5"/>
    <w:rsid w:val="00244560"/>
    <w:rsid w:val="002524EE"/>
    <w:rsid w:val="002575AF"/>
    <w:rsid w:val="00265A15"/>
    <w:rsid w:val="0027156D"/>
    <w:rsid w:val="00285E46"/>
    <w:rsid w:val="00287A2D"/>
    <w:rsid w:val="00290223"/>
    <w:rsid w:val="00290E97"/>
    <w:rsid w:val="002935AC"/>
    <w:rsid w:val="002960F1"/>
    <w:rsid w:val="00296BE3"/>
    <w:rsid w:val="002A5DFE"/>
    <w:rsid w:val="002B64E4"/>
    <w:rsid w:val="002C23D2"/>
    <w:rsid w:val="002C4B29"/>
    <w:rsid w:val="002C7675"/>
    <w:rsid w:val="00306550"/>
    <w:rsid w:val="00306BC5"/>
    <w:rsid w:val="00312C04"/>
    <w:rsid w:val="00317482"/>
    <w:rsid w:val="00320055"/>
    <w:rsid w:val="003276DE"/>
    <w:rsid w:val="00334CEB"/>
    <w:rsid w:val="00344CDE"/>
    <w:rsid w:val="003459EE"/>
    <w:rsid w:val="00345C7D"/>
    <w:rsid w:val="0035057D"/>
    <w:rsid w:val="003560D2"/>
    <w:rsid w:val="00363C8F"/>
    <w:rsid w:val="00376D2C"/>
    <w:rsid w:val="00386FB1"/>
    <w:rsid w:val="0039022A"/>
    <w:rsid w:val="00391B9A"/>
    <w:rsid w:val="00392114"/>
    <w:rsid w:val="00393065"/>
    <w:rsid w:val="00397A8D"/>
    <w:rsid w:val="003A1FF5"/>
    <w:rsid w:val="003B2BFF"/>
    <w:rsid w:val="003B58F1"/>
    <w:rsid w:val="003B769F"/>
    <w:rsid w:val="003C525A"/>
    <w:rsid w:val="003C6493"/>
    <w:rsid w:val="003D0B92"/>
    <w:rsid w:val="003D4B06"/>
    <w:rsid w:val="003E2F8E"/>
    <w:rsid w:val="003F55A7"/>
    <w:rsid w:val="003F6E7E"/>
    <w:rsid w:val="004034CC"/>
    <w:rsid w:val="00405344"/>
    <w:rsid w:val="00410D2C"/>
    <w:rsid w:val="00413117"/>
    <w:rsid w:val="00416E88"/>
    <w:rsid w:val="00420894"/>
    <w:rsid w:val="004402AE"/>
    <w:rsid w:val="00440364"/>
    <w:rsid w:val="00441F7C"/>
    <w:rsid w:val="00446097"/>
    <w:rsid w:val="00450C97"/>
    <w:rsid w:val="00476CBB"/>
    <w:rsid w:val="00486FF9"/>
    <w:rsid w:val="0049187D"/>
    <w:rsid w:val="00491C5D"/>
    <w:rsid w:val="00496F21"/>
    <w:rsid w:val="004A227C"/>
    <w:rsid w:val="004A6064"/>
    <w:rsid w:val="004D4748"/>
    <w:rsid w:val="004D716D"/>
    <w:rsid w:val="004E20D1"/>
    <w:rsid w:val="004F11C2"/>
    <w:rsid w:val="004F160B"/>
    <w:rsid w:val="004F66BF"/>
    <w:rsid w:val="005034C0"/>
    <w:rsid w:val="005077E1"/>
    <w:rsid w:val="00511F7E"/>
    <w:rsid w:val="005173CE"/>
    <w:rsid w:val="00524CE8"/>
    <w:rsid w:val="0053142A"/>
    <w:rsid w:val="00540A34"/>
    <w:rsid w:val="00543CEF"/>
    <w:rsid w:val="005452B9"/>
    <w:rsid w:val="00583BC3"/>
    <w:rsid w:val="005A1B84"/>
    <w:rsid w:val="005A4DFD"/>
    <w:rsid w:val="005A5ABF"/>
    <w:rsid w:val="005A6C47"/>
    <w:rsid w:val="005A6FCB"/>
    <w:rsid w:val="005B25AD"/>
    <w:rsid w:val="005C0447"/>
    <w:rsid w:val="005C2119"/>
    <w:rsid w:val="005C4422"/>
    <w:rsid w:val="005C4667"/>
    <w:rsid w:val="005C5648"/>
    <w:rsid w:val="005F66E7"/>
    <w:rsid w:val="00604D99"/>
    <w:rsid w:val="00617ACA"/>
    <w:rsid w:val="00625028"/>
    <w:rsid w:val="00627F7D"/>
    <w:rsid w:val="006365BB"/>
    <w:rsid w:val="00644B12"/>
    <w:rsid w:val="006500FC"/>
    <w:rsid w:val="00651F88"/>
    <w:rsid w:val="006612DC"/>
    <w:rsid w:val="00672D41"/>
    <w:rsid w:val="006753EB"/>
    <w:rsid w:val="0069495E"/>
    <w:rsid w:val="00695AA1"/>
    <w:rsid w:val="006B3824"/>
    <w:rsid w:val="006B6B05"/>
    <w:rsid w:val="006C1A75"/>
    <w:rsid w:val="006C4440"/>
    <w:rsid w:val="006C6F74"/>
    <w:rsid w:val="006D745E"/>
    <w:rsid w:val="006E2CE0"/>
    <w:rsid w:val="006E4A9F"/>
    <w:rsid w:val="006F3134"/>
    <w:rsid w:val="006F315B"/>
    <w:rsid w:val="007207FF"/>
    <w:rsid w:val="00726EA6"/>
    <w:rsid w:val="00727B64"/>
    <w:rsid w:val="00731C19"/>
    <w:rsid w:val="0073312C"/>
    <w:rsid w:val="00734E94"/>
    <w:rsid w:val="00747A32"/>
    <w:rsid w:val="00757839"/>
    <w:rsid w:val="007636B7"/>
    <w:rsid w:val="00763B88"/>
    <w:rsid w:val="00764FB5"/>
    <w:rsid w:val="0076766A"/>
    <w:rsid w:val="00773EDC"/>
    <w:rsid w:val="00774A49"/>
    <w:rsid w:val="007A0B2D"/>
    <w:rsid w:val="007B0827"/>
    <w:rsid w:val="007C0813"/>
    <w:rsid w:val="007C0CDE"/>
    <w:rsid w:val="007D3105"/>
    <w:rsid w:val="007D31A9"/>
    <w:rsid w:val="007E2F28"/>
    <w:rsid w:val="007E5234"/>
    <w:rsid w:val="007E6E2E"/>
    <w:rsid w:val="008079B8"/>
    <w:rsid w:val="00811595"/>
    <w:rsid w:val="008116AB"/>
    <w:rsid w:val="008116CA"/>
    <w:rsid w:val="008116FF"/>
    <w:rsid w:val="0083130B"/>
    <w:rsid w:val="00842153"/>
    <w:rsid w:val="00844F83"/>
    <w:rsid w:val="00850983"/>
    <w:rsid w:val="00862CB5"/>
    <w:rsid w:val="00864321"/>
    <w:rsid w:val="00866624"/>
    <w:rsid w:val="00883638"/>
    <w:rsid w:val="008930D1"/>
    <w:rsid w:val="00895727"/>
    <w:rsid w:val="008A1D84"/>
    <w:rsid w:val="008A38FE"/>
    <w:rsid w:val="008A5859"/>
    <w:rsid w:val="008B05B8"/>
    <w:rsid w:val="008B640E"/>
    <w:rsid w:val="008C3E1F"/>
    <w:rsid w:val="008C5788"/>
    <w:rsid w:val="008D2864"/>
    <w:rsid w:val="008D6298"/>
    <w:rsid w:val="008E5BC5"/>
    <w:rsid w:val="008E5C85"/>
    <w:rsid w:val="008E6167"/>
    <w:rsid w:val="008F35CC"/>
    <w:rsid w:val="008F6083"/>
    <w:rsid w:val="009177E7"/>
    <w:rsid w:val="00925E7D"/>
    <w:rsid w:val="00941D8F"/>
    <w:rsid w:val="00955ADD"/>
    <w:rsid w:val="009648AC"/>
    <w:rsid w:val="00967D99"/>
    <w:rsid w:val="0097089F"/>
    <w:rsid w:val="00977A90"/>
    <w:rsid w:val="00985062"/>
    <w:rsid w:val="00986FB1"/>
    <w:rsid w:val="009A1BB7"/>
    <w:rsid w:val="009A2DBB"/>
    <w:rsid w:val="009A39F6"/>
    <w:rsid w:val="009A3F73"/>
    <w:rsid w:val="009B41B2"/>
    <w:rsid w:val="009C318D"/>
    <w:rsid w:val="009C3DF0"/>
    <w:rsid w:val="009C5D0F"/>
    <w:rsid w:val="009C5FCB"/>
    <w:rsid w:val="009C7F31"/>
    <w:rsid w:val="009D0943"/>
    <w:rsid w:val="009D39A4"/>
    <w:rsid w:val="009E4CA2"/>
    <w:rsid w:val="009E4F1E"/>
    <w:rsid w:val="009F3372"/>
    <w:rsid w:val="009F7493"/>
    <w:rsid w:val="009F7F13"/>
    <w:rsid w:val="00A0425B"/>
    <w:rsid w:val="00A1227A"/>
    <w:rsid w:val="00A16F94"/>
    <w:rsid w:val="00A17830"/>
    <w:rsid w:val="00A305C9"/>
    <w:rsid w:val="00A31D1B"/>
    <w:rsid w:val="00A55035"/>
    <w:rsid w:val="00A5563A"/>
    <w:rsid w:val="00A6322B"/>
    <w:rsid w:val="00A66FED"/>
    <w:rsid w:val="00A758E6"/>
    <w:rsid w:val="00A824A3"/>
    <w:rsid w:val="00A90BAD"/>
    <w:rsid w:val="00A94FC4"/>
    <w:rsid w:val="00AB594D"/>
    <w:rsid w:val="00AC15EF"/>
    <w:rsid w:val="00AC297F"/>
    <w:rsid w:val="00AC4AFE"/>
    <w:rsid w:val="00AD3CDD"/>
    <w:rsid w:val="00AE142B"/>
    <w:rsid w:val="00AE2FB6"/>
    <w:rsid w:val="00AE69F3"/>
    <w:rsid w:val="00AF47B3"/>
    <w:rsid w:val="00AF7C63"/>
    <w:rsid w:val="00B0023B"/>
    <w:rsid w:val="00B00CDB"/>
    <w:rsid w:val="00B06019"/>
    <w:rsid w:val="00B10428"/>
    <w:rsid w:val="00B138FA"/>
    <w:rsid w:val="00B164E0"/>
    <w:rsid w:val="00B21C5E"/>
    <w:rsid w:val="00B25D4D"/>
    <w:rsid w:val="00B269F7"/>
    <w:rsid w:val="00B30705"/>
    <w:rsid w:val="00B316BE"/>
    <w:rsid w:val="00B45112"/>
    <w:rsid w:val="00B5585D"/>
    <w:rsid w:val="00B57F76"/>
    <w:rsid w:val="00B6451B"/>
    <w:rsid w:val="00B71405"/>
    <w:rsid w:val="00B71841"/>
    <w:rsid w:val="00B75DC9"/>
    <w:rsid w:val="00B775E4"/>
    <w:rsid w:val="00B81AA4"/>
    <w:rsid w:val="00B83D48"/>
    <w:rsid w:val="00B94321"/>
    <w:rsid w:val="00B94A01"/>
    <w:rsid w:val="00B95FCB"/>
    <w:rsid w:val="00B96080"/>
    <w:rsid w:val="00BA00BE"/>
    <w:rsid w:val="00BA7096"/>
    <w:rsid w:val="00BC1417"/>
    <w:rsid w:val="00BC4EDC"/>
    <w:rsid w:val="00BD327B"/>
    <w:rsid w:val="00BE2257"/>
    <w:rsid w:val="00BE2480"/>
    <w:rsid w:val="00BE6DB5"/>
    <w:rsid w:val="00BF2123"/>
    <w:rsid w:val="00C02989"/>
    <w:rsid w:val="00C076C7"/>
    <w:rsid w:val="00C13313"/>
    <w:rsid w:val="00C44F8A"/>
    <w:rsid w:val="00C60E4A"/>
    <w:rsid w:val="00C75A17"/>
    <w:rsid w:val="00C81666"/>
    <w:rsid w:val="00C83434"/>
    <w:rsid w:val="00C83EAA"/>
    <w:rsid w:val="00C9075C"/>
    <w:rsid w:val="00C93F0D"/>
    <w:rsid w:val="00CA284C"/>
    <w:rsid w:val="00CA6625"/>
    <w:rsid w:val="00CB0819"/>
    <w:rsid w:val="00CB1A7C"/>
    <w:rsid w:val="00CB4058"/>
    <w:rsid w:val="00CC2F2D"/>
    <w:rsid w:val="00CC593C"/>
    <w:rsid w:val="00CC5B40"/>
    <w:rsid w:val="00CE3F90"/>
    <w:rsid w:val="00CF1011"/>
    <w:rsid w:val="00CF1BFB"/>
    <w:rsid w:val="00CF61FD"/>
    <w:rsid w:val="00D01F6B"/>
    <w:rsid w:val="00D0313F"/>
    <w:rsid w:val="00D05A35"/>
    <w:rsid w:val="00D07879"/>
    <w:rsid w:val="00D100D6"/>
    <w:rsid w:val="00D145AB"/>
    <w:rsid w:val="00D1756D"/>
    <w:rsid w:val="00D25E7F"/>
    <w:rsid w:val="00D2773D"/>
    <w:rsid w:val="00D46521"/>
    <w:rsid w:val="00D5422B"/>
    <w:rsid w:val="00D55218"/>
    <w:rsid w:val="00D6051C"/>
    <w:rsid w:val="00D63F74"/>
    <w:rsid w:val="00D65283"/>
    <w:rsid w:val="00D65CBB"/>
    <w:rsid w:val="00D67B56"/>
    <w:rsid w:val="00D70C23"/>
    <w:rsid w:val="00D722D6"/>
    <w:rsid w:val="00D851F6"/>
    <w:rsid w:val="00DA07E7"/>
    <w:rsid w:val="00DA1273"/>
    <w:rsid w:val="00DA3960"/>
    <w:rsid w:val="00DB6B4C"/>
    <w:rsid w:val="00DC5CDE"/>
    <w:rsid w:val="00DD44E5"/>
    <w:rsid w:val="00DD49E4"/>
    <w:rsid w:val="00DE3216"/>
    <w:rsid w:val="00DE5404"/>
    <w:rsid w:val="00DF25E3"/>
    <w:rsid w:val="00DF6375"/>
    <w:rsid w:val="00E00D22"/>
    <w:rsid w:val="00E04B24"/>
    <w:rsid w:val="00E07ED9"/>
    <w:rsid w:val="00E25473"/>
    <w:rsid w:val="00E26D9C"/>
    <w:rsid w:val="00E363B5"/>
    <w:rsid w:val="00E411D1"/>
    <w:rsid w:val="00E43BB4"/>
    <w:rsid w:val="00E5095B"/>
    <w:rsid w:val="00E56598"/>
    <w:rsid w:val="00E57E61"/>
    <w:rsid w:val="00E60509"/>
    <w:rsid w:val="00EA0519"/>
    <w:rsid w:val="00EA1E33"/>
    <w:rsid w:val="00EA3711"/>
    <w:rsid w:val="00EB489A"/>
    <w:rsid w:val="00EB515D"/>
    <w:rsid w:val="00EC7212"/>
    <w:rsid w:val="00EE2377"/>
    <w:rsid w:val="00F114E8"/>
    <w:rsid w:val="00F144A2"/>
    <w:rsid w:val="00F23F2F"/>
    <w:rsid w:val="00F274C0"/>
    <w:rsid w:val="00F31351"/>
    <w:rsid w:val="00F31B06"/>
    <w:rsid w:val="00F36CD4"/>
    <w:rsid w:val="00F36F5C"/>
    <w:rsid w:val="00F43581"/>
    <w:rsid w:val="00F4530F"/>
    <w:rsid w:val="00F45B22"/>
    <w:rsid w:val="00F45EBC"/>
    <w:rsid w:val="00F468E1"/>
    <w:rsid w:val="00F52E02"/>
    <w:rsid w:val="00F54466"/>
    <w:rsid w:val="00F65D3C"/>
    <w:rsid w:val="00F7014D"/>
    <w:rsid w:val="00F8198A"/>
    <w:rsid w:val="00F908F6"/>
    <w:rsid w:val="00F935F1"/>
    <w:rsid w:val="00F95583"/>
    <w:rsid w:val="00F96932"/>
    <w:rsid w:val="00F974C6"/>
    <w:rsid w:val="00FB08A2"/>
    <w:rsid w:val="00FB4399"/>
    <w:rsid w:val="00FE42AD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B2C0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B57F76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47"/>
    <w:unhideWhenUsed/>
    <w:rsid w:val="001060A3"/>
    <w:pPr>
      <w:tabs>
        <w:tab w:val="left" w:pos="260"/>
      </w:tabs>
      <w:spacing w:line="480" w:lineRule="auto"/>
      <w:ind w:left="264" w:hanging="264"/>
    </w:pPr>
  </w:style>
  <w:style w:type="character" w:styleId="CommentReference">
    <w:name w:val="annotation reference"/>
    <w:basedOn w:val="DefaultParagraphFont"/>
    <w:semiHidden/>
    <w:unhideWhenUsed/>
    <w:rsid w:val="00727B6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27B64"/>
  </w:style>
  <w:style w:type="character" w:customStyle="1" w:styleId="CommentTextChar">
    <w:name w:val="Comment Text Char"/>
    <w:basedOn w:val="DefaultParagraphFont"/>
    <w:link w:val="CommentText"/>
    <w:semiHidden/>
    <w:rsid w:val="00727B6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27B64"/>
    <w:rPr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B57F76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47"/>
    <w:unhideWhenUsed/>
    <w:rsid w:val="001060A3"/>
    <w:pPr>
      <w:tabs>
        <w:tab w:val="left" w:pos="260"/>
      </w:tabs>
      <w:spacing w:line="480" w:lineRule="auto"/>
      <w:ind w:left="264" w:hanging="264"/>
    </w:pPr>
  </w:style>
  <w:style w:type="character" w:styleId="CommentReference">
    <w:name w:val="annotation reference"/>
    <w:basedOn w:val="DefaultParagraphFont"/>
    <w:semiHidden/>
    <w:unhideWhenUsed/>
    <w:rsid w:val="00727B6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27B64"/>
  </w:style>
  <w:style w:type="character" w:customStyle="1" w:styleId="CommentTextChar">
    <w:name w:val="Comment Text Char"/>
    <w:basedOn w:val="DefaultParagraphFont"/>
    <w:link w:val="CommentText"/>
    <w:semiHidden/>
    <w:rsid w:val="00727B6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27B64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t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7125</CharactersWithSpaces>
  <SharedDoc>false</SharedDoc>
  <HLinks>
    <vt:vector size="12" baseType="variant">
      <vt:variant>
        <vt:i4>3932166</vt:i4>
      </vt:variant>
      <vt:variant>
        <vt:i4>-1</vt:i4>
      </vt:variant>
      <vt:variant>
        <vt:i4>1029</vt:i4>
      </vt:variant>
      <vt:variant>
        <vt:i4>1</vt:i4>
      </vt:variant>
      <vt:variant>
        <vt:lpwstr>TOC RSC</vt:lpwstr>
      </vt:variant>
      <vt:variant>
        <vt:lpwstr/>
      </vt:variant>
      <vt:variant>
        <vt:i4>49</vt:i4>
      </vt:variant>
      <vt:variant>
        <vt:i4>-1</vt:i4>
      </vt:variant>
      <vt:variant>
        <vt:i4>1030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Karol Bickett</cp:lastModifiedBy>
  <cp:revision>4</cp:revision>
  <cp:lastPrinted>2015-12-09T17:03:00Z</cp:lastPrinted>
  <dcterms:created xsi:type="dcterms:W3CDTF">2018-01-22T15:21:00Z</dcterms:created>
  <dcterms:modified xsi:type="dcterms:W3CDTF">2018-01-25T18:53:00Z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id="Q13vCv31"/&gt;&lt;style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