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158DB" w14:textId="77777777" w:rsidR="00D26BB4" w:rsidRDefault="00D17A6F" w:rsidP="00D26BB4">
      <w:pPr>
        <w:tabs>
          <w:tab w:val="left" w:pos="360"/>
        </w:tabs>
        <w:jc w:val="center"/>
        <w:rPr>
          <w:rFonts w:ascii="Arial" w:hAnsi="Arial" w:cs="Arial"/>
          <w:b/>
        </w:rPr>
      </w:pPr>
      <w:r w:rsidRPr="00D17A6F">
        <w:rPr>
          <w:rFonts w:ascii="Arial" w:hAnsi="Arial" w:cs="Arial"/>
          <w:b/>
        </w:rPr>
        <w:t xml:space="preserve">Soil Organic Matter Chemistry Controls on Carbon Dioxide Production </w:t>
      </w:r>
    </w:p>
    <w:p w14:paraId="551A3C90" w14:textId="357A9503" w:rsidR="00D17A6F" w:rsidRDefault="00D17A6F" w:rsidP="00D26BB4">
      <w:pPr>
        <w:tabs>
          <w:tab w:val="left" w:pos="360"/>
        </w:tabs>
        <w:jc w:val="center"/>
        <w:rPr>
          <w:rFonts w:ascii="Arial" w:hAnsi="Arial" w:cs="Arial"/>
          <w:b/>
        </w:rPr>
      </w:pPr>
      <w:bookmarkStart w:id="0" w:name="_GoBack"/>
      <w:bookmarkEnd w:id="0"/>
      <w:r w:rsidRPr="00D17A6F">
        <w:rPr>
          <w:rFonts w:ascii="Arial" w:hAnsi="Arial" w:cs="Arial"/>
          <w:b/>
        </w:rPr>
        <w:t>in Global Peatlands</w:t>
      </w:r>
    </w:p>
    <w:p w14:paraId="19C8A168" w14:textId="6A924371" w:rsidR="00A94FC4" w:rsidRPr="006B3824" w:rsidRDefault="00237E34" w:rsidP="00246358">
      <w:pPr>
        <w:tabs>
          <w:tab w:val="left" w:pos="360"/>
        </w:tabs>
        <w:rPr>
          <w:rFonts w:ascii="Arial" w:hAnsi="Arial" w:cs="Arial"/>
          <w:sz w:val="20"/>
          <w:szCs w:val="20"/>
        </w:rPr>
      </w:pPr>
      <w:r w:rsidRPr="00237E34">
        <w:rPr>
          <w:rFonts w:ascii="Arial" w:hAnsi="Arial" w:cs="Arial"/>
          <w:sz w:val="20"/>
          <w:szCs w:val="20"/>
          <w:u w:val="single"/>
        </w:rPr>
        <w:t>Normand, A.E.</w:t>
      </w:r>
      <w:r>
        <w:rPr>
          <w:rFonts w:ascii="Arial" w:hAnsi="Arial" w:cs="Arial"/>
          <w:sz w:val="20"/>
          <w:szCs w:val="20"/>
        </w:rPr>
        <w:t xml:space="preserve"> (UF, Soil and Water Science</w:t>
      </w:r>
      <w:r w:rsidR="00840F02">
        <w:rPr>
          <w:rFonts w:ascii="Arial" w:hAnsi="Arial" w:cs="Arial"/>
          <w:sz w:val="20"/>
          <w:szCs w:val="20"/>
        </w:rPr>
        <w:t>s</w:t>
      </w:r>
      <w:r>
        <w:rPr>
          <w:rFonts w:ascii="Arial" w:hAnsi="Arial" w:cs="Arial"/>
          <w:sz w:val="20"/>
          <w:szCs w:val="20"/>
        </w:rPr>
        <w:t>);</w:t>
      </w:r>
      <w:r w:rsidRPr="00237E34">
        <w:rPr>
          <w:rFonts w:ascii="Arial" w:hAnsi="Arial" w:cs="Arial"/>
          <w:sz w:val="20"/>
          <w:szCs w:val="20"/>
        </w:rPr>
        <w:t xml:space="preserve"> Turner,</w:t>
      </w:r>
      <w:r>
        <w:rPr>
          <w:rFonts w:ascii="Arial" w:hAnsi="Arial" w:cs="Arial"/>
          <w:sz w:val="20"/>
          <w:szCs w:val="20"/>
        </w:rPr>
        <w:t xml:space="preserve"> B.L. (STRI);</w:t>
      </w:r>
      <w:r w:rsidRPr="00237E34">
        <w:rPr>
          <w:rFonts w:ascii="Arial" w:hAnsi="Arial" w:cs="Arial"/>
          <w:sz w:val="20"/>
          <w:szCs w:val="20"/>
        </w:rPr>
        <w:t xml:space="preserve"> Lamit,</w:t>
      </w:r>
      <w:r>
        <w:rPr>
          <w:rFonts w:ascii="Arial" w:hAnsi="Arial" w:cs="Arial"/>
          <w:sz w:val="20"/>
          <w:szCs w:val="20"/>
        </w:rPr>
        <w:t xml:space="preserve"> J. (</w:t>
      </w:r>
      <w:r w:rsidR="00D17A6F">
        <w:rPr>
          <w:rFonts w:ascii="Arial" w:hAnsi="Arial" w:cs="Arial"/>
          <w:sz w:val="20"/>
          <w:szCs w:val="20"/>
        </w:rPr>
        <w:t>Syracuse</w:t>
      </w:r>
      <w:r>
        <w:rPr>
          <w:rFonts w:ascii="Arial" w:hAnsi="Arial" w:cs="Arial"/>
          <w:sz w:val="20"/>
          <w:szCs w:val="20"/>
        </w:rPr>
        <w:t xml:space="preserve">, </w:t>
      </w:r>
      <w:r w:rsidR="00D17A6F">
        <w:rPr>
          <w:rFonts w:ascii="Arial" w:hAnsi="Arial" w:cs="Arial"/>
          <w:sz w:val="20"/>
          <w:szCs w:val="20"/>
        </w:rPr>
        <w:t>Biology</w:t>
      </w:r>
      <w:r>
        <w:rPr>
          <w:rFonts w:ascii="Arial" w:hAnsi="Arial" w:cs="Arial"/>
          <w:sz w:val="20"/>
          <w:szCs w:val="20"/>
        </w:rPr>
        <w:t xml:space="preserve">); </w:t>
      </w:r>
      <w:r w:rsidR="00840F02" w:rsidRPr="00237E34">
        <w:rPr>
          <w:rFonts w:ascii="Arial" w:hAnsi="Arial" w:cs="Arial"/>
          <w:sz w:val="20"/>
          <w:szCs w:val="20"/>
        </w:rPr>
        <w:t>Smith,</w:t>
      </w:r>
      <w:r w:rsidR="00840F02">
        <w:rPr>
          <w:rFonts w:ascii="Arial" w:hAnsi="Arial" w:cs="Arial"/>
          <w:sz w:val="20"/>
          <w:szCs w:val="20"/>
        </w:rPr>
        <w:t xml:space="preserve"> A.N. (UF, Chemistry); </w:t>
      </w:r>
      <w:r w:rsidRPr="00237E34">
        <w:rPr>
          <w:rFonts w:ascii="Arial" w:hAnsi="Arial" w:cs="Arial"/>
          <w:sz w:val="20"/>
          <w:szCs w:val="20"/>
        </w:rPr>
        <w:t>Baisier,</w:t>
      </w:r>
      <w:r>
        <w:rPr>
          <w:rFonts w:ascii="Arial" w:hAnsi="Arial" w:cs="Arial"/>
          <w:sz w:val="20"/>
          <w:szCs w:val="20"/>
        </w:rPr>
        <w:t xml:space="preserve"> B. (UF, Wildlife Ecology);</w:t>
      </w:r>
      <w:r w:rsidRPr="00237E34">
        <w:rPr>
          <w:rFonts w:ascii="Arial" w:hAnsi="Arial" w:cs="Arial"/>
          <w:sz w:val="20"/>
          <w:szCs w:val="20"/>
        </w:rPr>
        <w:t xml:space="preserve"> </w:t>
      </w:r>
      <w:r w:rsidR="00840F02">
        <w:rPr>
          <w:rFonts w:ascii="Arial" w:hAnsi="Arial" w:cs="Arial"/>
          <w:sz w:val="20"/>
          <w:szCs w:val="20"/>
        </w:rPr>
        <w:t xml:space="preserve">Clark, M.W. (UF, Soil and Water Sciences); Hazlett, C. (UF, Soil and Water Sciences); </w:t>
      </w:r>
      <w:r w:rsidR="00D17A6F">
        <w:rPr>
          <w:rFonts w:ascii="Arial" w:hAnsi="Arial" w:cs="Arial"/>
          <w:sz w:val="20"/>
          <w:szCs w:val="20"/>
        </w:rPr>
        <w:t xml:space="preserve">Kane E.S. (MTU, Forest Resources and Environmental Science) </w:t>
      </w:r>
      <w:r w:rsidRPr="00237E34">
        <w:rPr>
          <w:rFonts w:ascii="Arial" w:hAnsi="Arial" w:cs="Arial"/>
          <w:sz w:val="20"/>
          <w:szCs w:val="20"/>
        </w:rPr>
        <w:t>Lilleskov,</w:t>
      </w:r>
      <w:r>
        <w:rPr>
          <w:rFonts w:ascii="Arial" w:hAnsi="Arial" w:cs="Arial"/>
          <w:sz w:val="20"/>
          <w:szCs w:val="20"/>
        </w:rPr>
        <w:t xml:space="preserve"> E. (Forest Service, Northern Research Station);</w:t>
      </w:r>
      <w:r w:rsidRPr="00237E34">
        <w:rPr>
          <w:rFonts w:ascii="Arial" w:hAnsi="Arial" w:cs="Arial"/>
          <w:sz w:val="20"/>
          <w:szCs w:val="20"/>
        </w:rPr>
        <w:t xml:space="preserve"> </w:t>
      </w:r>
      <w:r w:rsidR="00840F02">
        <w:rPr>
          <w:rFonts w:ascii="Arial" w:hAnsi="Arial" w:cs="Arial"/>
          <w:sz w:val="20"/>
          <w:szCs w:val="20"/>
        </w:rPr>
        <w:t xml:space="preserve">Long J.R. (UF, </w:t>
      </w:r>
      <w:r w:rsidR="00840F02" w:rsidRPr="00840F02">
        <w:rPr>
          <w:rFonts w:ascii="Arial" w:hAnsi="Arial" w:cs="Arial"/>
          <w:sz w:val="20"/>
          <w:szCs w:val="20"/>
        </w:rPr>
        <w:t>Department of Biochemistry and Molecular Biology</w:t>
      </w:r>
      <w:r w:rsidR="00840F02">
        <w:rPr>
          <w:rFonts w:ascii="Arial" w:hAnsi="Arial" w:cs="Arial"/>
          <w:sz w:val="20"/>
          <w:szCs w:val="20"/>
        </w:rPr>
        <w:t>)</w:t>
      </w:r>
      <w:r>
        <w:rPr>
          <w:rFonts w:ascii="Arial" w:hAnsi="Arial" w:cs="Arial"/>
          <w:sz w:val="20"/>
          <w:szCs w:val="20"/>
        </w:rPr>
        <w:t xml:space="preserve">; </w:t>
      </w:r>
      <w:r w:rsidR="00D17A6F">
        <w:rPr>
          <w:rFonts w:ascii="Arial" w:hAnsi="Arial" w:cs="Arial"/>
          <w:sz w:val="20"/>
          <w:szCs w:val="20"/>
        </w:rPr>
        <w:t xml:space="preserve">Sam P. Grover (La Trobe, Applied Alpine Ecology); </w:t>
      </w:r>
      <w:r w:rsidRPr="00237E34">
        <w:rPr>
          <w:rFonts w:ascii="Arial" w:hAnsi="Arial" w:cs="Arial"/>
          <w:sz w:val="20"/>
          <w:szCs w:val="20"/>
        </w:rPr>
        <w:t>Reddy</w:t>
      </w:r>
      <w:r>
        <w:rPr>
          <w:rFonts w:ascii="Arial" w:hAnsi="Arial" w:cs="Arial"/>
          <w:sz w:val="20"/>
          <w:szCs w:val="20"/>
        </w:rPr>
        <w:t>, K.R. (UF, Soil and Water Science</w:t>
      </w:r>
      <w:r w:rsidR="00840F02">
        <w:rPr>
          <w:rFonts w:ascii="Arial" w:hAnsi="Arial" w:cs="Arial"/>
          <w:sz w:val="20"/>
          <w:szCs w:val="20"/>
        </w:rPr>
        <w:t>s</w:t>
      </w:r>
      <w:r>
        <w:rPr>
          <w:rFonts w:ascii="Arial" w:hAnsi="Arial" w:cs="Arial"/>
          <w:sz w:val="20"/>
          <w:szCs w:val="20"/>
        </w:rPr>
        <w:t>)</w:t>
      </w:r>
      <w:r w:rsidR="00EB515D" w:rsidRPr="006B3824">
        <w:rPr>
          <w:rFonts w:ascii="Arial" w:hAnsi="Arial" w:cs="Arial"/>
          <w:sz w:val="20"/>
          <w:szCs w:val="20"/>
        </w:rPr>
        <w:t xml:space="preserve"> </w:t>
      </w:r>
    </w:p>
    <w:p w14:paraId="19C8A169" w14:textId="3483CDCD" w:rsidR="00A94FC4" w:rsidRPr="006B3824" w:rsidRDefault="00A94FC4" w:rsidP="00B0413B">
      <w:pPr>
        <w:pBdr>
          <w:bottom w:val="single" w:sz="12" w:space="0" w:color="auto"/>
        </w:pBdr>
        <w:tabs>
          <w:tab w:val="left" w:pos="360"/>
        </w:tabs>
        <w:rPr>
          <w:rFonts w:ascii="Arial" w:hAnsi="Arial" w:cs="Arial"/>
          <w:sz w:val="20"/>
          <w:szCs w:val="20"/>
        </w:rPr>
      </w:pPr>
    </w:p>
    <w:p w14:paraId="19C8A16A" w14:textId="3F7AF8F4" w:rsidR="00A94FC4" w:rsidRPr="006B3824" w:rsidRDefault="00D17A6F" w:rsidP="0049187D">
      <w:pPr>
        <w:tabs>
          <w:tab w:val="left" w:pos="360"/>
        </w:tabs>
        <w:rPr>
          <w:rFonts w:ascii="Arial" w:hAnsi="Arial" w:cs="Arial"/>
          <w:sz w:val="20"/>
          <w:szCs w:val="20"/>
        </w:rPr>
      </w:pPr>
      <w:r>
        <w:rPr>
          <w:noProof/>
          <w:lang w:eastAsia="en-US"/>
        </w:rPr>
        <w:drawing>
          <wp:anchor distT="0" distB="0" distL="114300" distR="114300" simplePos="0" relativeHeight="251658240" behindDoc="0" locked="0" layoutInCell="1" allowOverlap="1" wp14:anchorId="73BA76B1" wp14:editId="6133C6EA">
            <wp:simplePos x="0" y="0"/>
            <wp:positionH relativeFrom="column">
              <wp:posOffset>3437890</wp:posOffset>
            </wp:positionH>
            <wp:positionV relativeFrom="paragraph">
              <wp:posOffset>47625</wp:posOffset>
            </wp:positionV>
            <wp:extent cx="3018790" cy="2334895"/>
            <wp:effectExtent l="0" t="0" r="3810" b="1905"/>
            <wp:wrapTight wrapText="bothSides">
              <wp:wrapPolygon edited="0">
                <wp:start x="0" y="0"/>
                <wp:lineTo x="0" y="21383"/>
                <wp:lineTo x="21446" y="21383"/>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18790" cy="2334895"/>
                    </a:xfrm>
                    <a:prstGeom prst="rect">
                      <a:avLst/>
                    </a:prstGeom>
                  </pic:spPr>
                </pic:pic>
              </a:graphicData>
            </a:graphic>
            <wp14:sizeRelH relativeFrom="margin">
              <wp14:pctWidth>0</wp14:pctWidth>
            </wp14:sizeRelH>
            <wp14:sizeRelV relativeFrom="margin">
              <wp14:pctHeight>0</wp14:pctHeight>
            </wp14:sizeRelV>
          </wp:anchor>
        </w:drawing>
      </w:r>
    </w:p>
    <w:p w14:paraId="19C8A16B" w14:textId="2629CBB2"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14:paraId="19C8A16D" w14:textId="48177995" w:rsidR="00B75DC9" w:rsidRPr="006B3824" w:rsidRDefault="006B3824" w:rsidP="00B75DC9">
      <w:pPr>
        <w:tabs>
          <w:tab w:val="left" w:pos="360"/>
        </w:tabs>
        <w:rPr>
          <w:rFonts w:ascii="Arial" w:hAnsi="Arial" w:cs="Arial"/>
          <w:sz w:val="20"/>
          <w:szCs w:val="20"/>
        </w:rPr>
      </w:pPr>
      <w:r w:rsidRPr="006B3824">
        <w:rPr>
          <w:rFonts w:ascii="Arial" w:hAnsi="Arial" w:cs="Arial"/>
          <w:sz w:val="20"/>
          <w:szCs w:val="20"/>
        </w:rPr>
        <w:tab/>
      </w:r>
      <w:r w:rsidR="00D17A6F" w:rsidRPr="00D17A6F">
        <w:rPr>
          <w:rFonts w:ascii="Arial" w:hAnsi="Arial" w:cs="Arial"/>
          <w:sz w:val="20"/>
          <w:szCs w:val="20"/>
        </w:rPr>
        <w:t xml:space="preserve">Peatlands play a critical role in the global carbon </w:t>
      </w:r>
      <w:r w:rsidR="00D17A6F">
        <w:rPr>
          <w:rFonts w:ascii="Arial" w:hAnsi="Arial" w:cs="Arial"/>
          <w:sz w:val="20"/>
          <w:szCs w:val="20"/>
        </w:rPr>
        <w:t xml:space="preserve">(C) </w:t>
      </w:r>
      <w:r w:rsidR="00D17A6F" w:rsidRPr="00D17A6F">
        <w:rPr>
          <w:rFonts w:ascii="Arial" w:hAnsi="Arial" w:cs="Arial"/>
          <w:sz w:val="20"/>
          <w:szCs w:val="20"/>
        </w:rPr>
        <w:t xml:space="preserve">cycle because they contain approximately 30% of the 1500 Pg of </w:t>
      </w:r>
      <w:r w:rsidR="00D17A6F">
        <w:rPr>
          <w:rFonts w:ascii="Arial" w:hAnsi="Arial" w:cs="Arial"/>
          <w:sz w:val="20"/>
          <w:szCs w:val="20"/>
        </w:rPr>
        <w:t>C</w:t>
      </w:r>
      <w:r w:rsidR="00D17A6F" w:rsidRPr="00D17A6F">
        <w:rPr>
          <w:rFonts w:ascii="Arial" w:hAnsi="Arial" w:cs="Arial"/>
          <w:sz w:val="20"/>
          <w:szCs w:val="20"/>
        </w:rPr>
        <w:t xml:space="preserve"> stored in soils worldwide. However, this </w:t>
      </w:r>
      <w:r w:rsidR="00D17A6F">
        <w:rPr>
          <w:rFonts w:ascii="Arial" w:hAnsi="Arial" w:cs="Arial"/>
          <w:sz w:val="20"/>
          <w:szCs w:val="20"/>
        </w:rPr>
        <w:t>C</w:t>
      </w:r>
      <w:r w:rsidR="00D17A6F" w:rsidRPr="00D17A6F">
        <w:rPr>
          <w:rFonts w:ascii="Arial" w:hAnsi="Arial" w:cs="Arial"/>
          <w:sz w:val="20"/>
          <w:szCs w:val="20"/>
        </w:rPr>
        <w:t xml:space="preserve"> is under threat from drainage and land-use change, with important consequences for global climate. Ecosystem models predict the impact of peatland perturbation on </w:t>
      </w:r>
      <w:r w:rsidR="00D17A6F">
        <w:rPr>
          <w:rFonts w:ascii="Arial" w:hAnsi="Arial" w:cs="Arial"/>
          <w:sz w:val="20"/>
          <w:szCs w:val="20"/>
        </w:rPr>
        <w:t>C</w:t>
      </w:r>
      <w:r w:rsidR="00D17A6F" w:rsidRPr="00D17A6F">
        <w:rPr>
          <w:rFonts w:ascii="Arial" w:hAnsi="Arial" w:cs="Arial"/>
          <w:sz w:val="20"/>
          <w:szCs w:val="20"/>
        </w:rPr>
        <w:t xml:space="preserve"> fluxes based on total soil </w:t>
      </w:r>
      <w:r w:rsidR="00D17A6F">
        <w:rPr>
          <w:rFonts w:ascii="Arial" w:hAnsi="Arial" w:cs="Arial"/>
          <w:sz w:val="20"/>
          <w:szCs w:val="20"/>
        </w:rPr>
        <w:t>C</w:t>
      </w:r>
      <w:r w:rsidR="00D17A6F" w:rsidRPr="00D17A6F">
        <w:rPr>
          <w:rFonts w:ascii="Arial" w:hAnsi="Arial" w:cs="Arial"/>
          <w:sz w:val="20"/>
          <w:szCs w:val="20"/>
        </w:rPr>
        <w:t xml:space="preserve"> pools, yet responses could vary markedly depending on soil organic matter chemistry. Here we combine experimental and observational studies to quantify the chemical nature and response to perturbation of soil organic matter in peatlands worldwide.</w:t>
      </w:r>
      <w:r w:rsidR="00FB4399">
        <w:rPr>
          <w:rFonts w:ascii="Arial" w:hAnsi="Arial" w:cs="Arial"/>
          <w:sz w:val="20"/>
          <w:szCs w:val="20"/>
        </w:rPr>
        <w:tab/>
      </w:r>
      <w:r w:rsidR="00B75DC9">
        <w:rPr>
          <w:rFonts w:ascii="Arial" w:hAnsi="Arial" w:cs="Arial"/>
          <w:sz w:val="20"/>
          <w:szCs w:val="20"/>
        </w:rPr>
        <w:t xml:space="preserve"> </w:t>
      </w:r>
    </w:p>
    <w:p w14:paraId="19C8A16F" w14:textId="52C9F3EF" w:rsidR="00B75DC9" w:rsidRPr="00B65CCF" w:rsidRDefault="00FB4399" w:rsidP="0049187D">
      <w:pPr>
        <w:tabs>
          <w:tab w:val="left" w:pos="360"/>
        </w:tabs>
        <w:rPr>
          <w:rFonts w:ascii="Arial" w:hAnsi="Arial" w:cs="Arial"/>
          <w:sz w:val="20"/>
          <w:szCs w:val="20"/>
        </w:rPr>
      </w:pPr>
      <w:r>
        <w:rPr>
          <w:rFonts w:ascii="Arial" w:hAnsi="Arial" w:cs="Arial"/>
          <w:sz w:val="20"/>
          <w:szCs w:val="20"/>
        </w:rPr>
        <w:tab/>
      </w:r>
      <w:r w:rsidR="00862CB5" w:rsidRPr="006B3824">
        <w:rPr>
          <w:rFonts w:ascii="Arial" w:hAnsi="Arial" w:cs="Arial"/>
          <w:sz w:val="20"/>
          <w:szCs w:val="20"/>
        </w:rPr>
        <w:t xml:space="preserve"> </w:t>
      </w:r>
    </w:p>
    <w:p w14:paraId="19C8A170" w14:textId="049C5912"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19C8A172" w14:textId="21C9AD84" w:rsidR="002524EE" w:rsidRPr="006B3824" w:rsidRDefault="00D26BB4" w:rsidP="0049187D">
      <w:pPr>
        <w:tabs>
          <w:tab w:val="left" w:pos="360"/>
        </w:tabs>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0288" behindDoc="0" locked="0" layoutInCell="1" allowOverlap="1" wp14:anchorId="4FBEB461" wp14:editId="484EE559">
                <wp:simplePos x="0" y="0"/>
                <wp:positionH relativeFrom="column">
                  <wp:posOffset>3601720</wp:posOffset>
                </wp:positionH>
                <wp:positionV relativeFrom="paragraph">
                  <wp:posOffset>200025</wp:posOffset>
                </wp:positionV>
                <wp:extent cx="2860675" cy="433705"/>
                <wp:effectExtent l="0" t="0" r="0" b="444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4337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CD5F" w14:textId="3EE6D7E6" w:rsidR="00AA3C70" w:rsidRPr="003A4E85" w:rsidRDefault="00AA3C70" w:rsidP="000A6637">
                            <w:pPr>
                              <w:rPr>
                                <w:rFonts w:ascii="Arial" w:hAnsi="Arial" w:cs="Arial"/>
                                <w:sz w:val="18"/>
                                <w:szCs w:val="18"/>
                              </w:rPr>
                            </w:pPr>
                            <w:r w:rsidRPr="003A4E85">
                              <w:rPr>
                                <w:rFonts w:ascii="Arial" w:hAnsi="Arial" w:cs="Arial"/>
                                <w:sz w:val="18"/>
                                <w:szCs w:val="18"/>
                              </w:rPr>
                              <w:t>F</w:t>
                            </w:r>
                            <w:r w:rsidR="007E2D2D" w:rsidRPr="003A4E85">
                              <w:rPr>
                                <w:rFonts w:ascii="Arial" w:hAnsi="Arial" w:cs="Arial"/>
                                <w:sz w:val="18"/>
                                <w:szCs w:val="18"/>
                              </w:rPr>
                              <w:t>ig.1</w:t>
                            </w:r>
                            <w:r w:rsidRPr="003A4E85">
                              <w:rPr>
                                <w:rFonts w:ascii="Arial" w:hAnsi="Arial" w:cs="Arial"/>
                                <w:sz w:val="18"/>
                                <w:szCs w:val="18"/>
                              </w:rPr>
                              <w:t xml:space="preserve"> </w:t>
                            </w:r>
                            <w:r w:rsidR="00D17A6F">
                              <w:rPr>
                                <w:rFonts w:ascii="Arial" w:hAnsi="Arial" w:cs="Arial"/>
                                <w:sz w:val="18"/>
                                <w:szCs w:val="18"/>
                              </w:rPr>
                              <w:t xml:space="preserve">Redundancy analysis axis 1 explained 29% of variance in global variation in soil C composition with </w:t>
                            </w:r>
                            <w:r w:rsidR="00D17A6F" w:rsidRPr="00D17A6F">
                              <w:rPr>
                                <w:rFonts w:ascii="Arial" w:hAnsi="Arial" w:cs="Arial"/>
                                <w:i/>
                                <w:sz w:val="18"/>
                                <w:szCs w:val="18"/>
                              </w:rPr>
                              <w:t>O</w:t>
                            </w:r>
                            <w:r w:rsidR="00D17A6F">
                              <w:rPr>
                                <w:rFonts w:ascii="Arial" w:hAnsi="Arial" w:cs="Arial"/>
                                <w:sz w:val="18"/>
                                <w:szCs w:val="18"/>
                              </w:rPr>
                              <w:t>-alkyl C affected by most environmental drivers</w:t>
                            </w:r>
                            <w:r w:rsidR="003C4C19" w:rsidRPr="003A4E85">
                              <w:rPr>
                                <w:rFonts w:ascii="Arial" w:hAnsi="Arial" w:cs="Arial"/>
                                <w:sz w:val="18"/>
                                <w:szCs w:val="18"/>
                              </w:rPr>
                              <w: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6pt;margin-top:15.75pt;width:225.25pt;height:3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" filled="f" stroked="f">
                <v:textbox inset=",0,,0">
                  <w:txbxContent>
                    <w:p w14:paraId="4686CD5F" w14:textId="3EE6D7E6" w:rsidR="00AA3C70" w:rsidRPr="003A4E85" w:rsidRDefault="00AA3C70" w:rsidP="000A6637">
                      <w:pPr>
                        <w:rPr>
                          <w:rFonts w:ascii="Arial" w:hAnsi="Arial" w:cs="Arial"/>
                          <w:sz w:val="18"/>
                          <w:szCs w:val="18"/>
                        </w:rPr>
                      </w:pPr>
                      <w:r w:rsidRPr="003A4E85">
                        <w:rPr>
                          <w:rFonts w:ascii="Arial" w:hAnsi="Arial" w:cs="Arial"/>
                          <w:sz w:val="18"/>
                          <w:szCs w:val="18"/>
                        </w:rPr>
                        <w:t>F</w:t>
                      </w:r>
                      <w:r w:rsidR="007E2D2D" w:rsidRPr="003A4E85">
                        <w:rPr>
                          <w:rFonts w:ascii="Arial" w:hAnsi="Arial" w:cs="Arial"/>
                          <w:sz w:val="18"/>
                          <w:szCs w:val="18"/>
                        </w:rPr>
                        <w:t>ig.1</w:t>
                      </w:r>
                      <w:r w:rsidRPr="003A4E85">
                        <w:rPr>
                          <w:rFonts w:ascii="Arial" w:hAnsi="Arial" w:cs="Arial"/>
                          <w:sz w:val="18"/>
                          <w:szCs w:val="18"/>
                        </w:rPr>
                        <w:t xml:space="preserve"> </w:t>
                      </w:r>
                      <w:r w:rsidR="00D17A6F">
                        <w:rPr>
                          <w:rFonts w:ascii="Arial" w:hAnsi="Arial" w:cs="Arial"/>
                          <w:sz w:val="18"/>
                          <w:szCs w:val="18"/>
                        </w:rPr>
                        <w:t xml:space="preserve">Redundancy analysis axis 1 explained 29% of variance in global variation in soil C composition with </w:t>
                      </w:r>
                      <w:r w:rsidR="00D17A6F" w:rsidRPr="00D17A6F">
                        <w:rPr>
                          <w:rFonts w:ascii="Arial" w:hAnsi="Arial" w:cs="Arial"/>
                          <w:i/>
                          <w:sz w:val="18"/>
                          <w:szCs w:val="18"/>
                        </w:rPr>
                        <w:t>O</w:t>
                      </w:r>
                      <w:r w:rsidR="00D17A6F">
                        <w:rPr>
                          <w:rFonts w:ascii="Arial" w:hAnsi="Arial" w:cs="Arial"/>
                          <w:sz w:val="18"/>
                          <w:szCs w:val="18"/>
                        </w:rPr>
                        <w:t>-alkyl C affected by most environmental drivers</w:t>
                      </w:r>
                      <w:r w:rsidR="003C4C19" w:rsidRPr="003A4E85">
                        <w:rPr>
                          <w:rFonts w:ascii="Arial" w:hAnsi="Arial" w:cs="Arial"/>
                          <w:sz w:val="18"/>
                          <w:szCs w:val="18"/>
                        </w:rPr>
                        <w:t>.</w:t>
                      </w:r>
                    </w:p>
                  </w:txbxContent>
                </v:textbox>
                <w10:wrap type="square"/>
              </v:shape>
            </w:pict>
          </mc:Fallback>
        </mc:AlternateContent>
      </w:r>
      <w:r w:rsidRPr="0065475D">
        <w:rPr>
          <w:noProof/>
          <w:lang w:eastAsia="en-US"/>
        </w:rPr>
        <w:drawing>
          <wp:anchor distT="0" distB="0" distL="114300" distR="114300" simplePos="0" relativeHeight="251659264" behindDoc="0" locked="0" layoutInCell="1" allowOverlap="1" wp14:anchorId="45801B01" wp14:editId="51125B8C">
            <wp:simplePos x="0" y="0"/>
            <wp:positionH relativeFrom="column">
              <wp:posOffset>3575050</wp:posOffset>
            </wp:positionH>
            <wp:positionV relativeFrom="paragraph">
              <wp:posOffset>621030</wp:posOffset>
            </wp:positionV>
            <wp:extent cx="3110865" cy="2290445"/>
            <wp:effectExtent l="0" t="0" r="0" b="0"/>
            <wp:wrapTight wrapText="bothSides">
              <wp:wrapPolygon edited="0">
                <wp:start x="265" y="0"/>
                <wp:lineTo x="0" y="1258"/>
                <wp:lineTo x="0" y="19402"/>
                <wp:lineTo x="265" y="20839"/>
                <wp:lineTo x="1720" y="21378"/>
                <wp:lineTo x="20767" y="21378"/>
                <wp:lineTo x="21031" y="1617"/>
                <wp:lineTo x="18915" y="1258"/>
                <wp:lineTo x="2249" y="0"/>
                <wp:lineTo x="26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10865" cy="2290445"/>
                    </a:xfrm>
                    <a:prstGeom prst="rect">
                      <a:avLst/>
                    </a:prstGeom>
                  </pic:spPr>
                </pic:pic>
              </a:graphicData>
            </a:graphic>
            <wp14:sizeRelH relativeFrom="margin">
              <wp14:pctWidth>0</wp14:pctWidth>
            </wp14:sizeRelH>
            <wp14:sizeRelV relativeFrom="margin">
              <wp14:pctHeight>0</wp14:pctHeight>
            </wp14:sizeRelV>
          </wp:anchor>
        </w:drawing>
      </w:r>
      <w:r w:rsidR="006B3824">
        <w:rPr>
          <w:rFonts w:ascii="Arial" w:hAnsi="Arial" w:cs="Arial"/>
          <w:sz w:val="20"/>
          <w:szCs w:val="20"/>
        </w:rPr>
        <w:tab/>
      </w:r>
      <w:r w:rsidR="00D17A6F" w:rsidRPr="00D17A6F">
        <w:rPr>
          <w:rFonts w:ascii="Arial" w:hAnsi="Arial" w:cs="Arial"/>
          <w:sz w:val="20"/>
          <w:szCs w:val="20"/>
        </w:rPr>
        <w:t xml:space="preserve">We quantified the molecular composition and stability of soil organic matter carbon in a global sample of 125 freshwater peatlands using solid-state </w:t>
      </w:r>
      <w:r w:rsidR="00D17A6F" w:rsidRPr="00D17A6F">
        <w:rPr>
          <w:rFonts w:ascii="Arial" w:hAnsi="Arial" w:cs="Arial"/>
          <w:sz w:val="20"/>
          <w:szCs w:val="20"/>
          <w:vertAlign w:val="superscript"/>
        </w:rPr>
        <w:t>13</w:t>
      </w:r>
      <w:r w:rsidR="00D17A6F" w:rsidRPr="00D17A6F">
        <w:rPr>
          <w:rFonts w:ascii="Arial" w:hAnsi="Arial" w:cs="Arial"/>
          <w:sz w:val="20"/>
          <w:szCs w:val="20"/>
        </w:rPr>
        <w:t xml:space="preserve">C nuclear magnetic resonance (NMR) spectroscopy. </w:t>
      </w:r>
      <w:r w:rsidR="00246358">
        <w:rPr>
          <w:rFonts w:ascii="Arial" w:hAnsi="Arial" w:cs="Arial"/>
          <w:sz w:val="20"/>
          <w:szCs w:val="20"/>
        </w:rPr>
        <w:t>CPTOSS</w:t>
      </w:r>
      <w:r w:rsidR="00246358" w:rsidRPr="00DA1407">
        <w:rPr>
          <w:rFonts w:ascii="Arial" w:hAnsi="Arial" w:cs="Arial"/>
          <w:sz w:val="20"/>
          <w:szCs w:val="20"/>
        </w:rPr>
        <w:t xml:space="preserve"> </w:t>
      </w:r>
      <w:r w:rsidR="00246358" w:rsidRPr="00D80DB8">
        <w:rPr>
          <w:rFonts w:ascii="Arial" w:hAnsi="Arial" w:cs="Arial"/>
          <w:sz w:val="20"/>
          <w:szCs w:val="20"/>
          <w:vertAlign w:val="superscript"/>
        </w:rPr>
        <w:t>13</w:t>
      </w:r>
      <w:r w:rsidR="00246358" w:rsidRPr="00DA1407">
        <w:rPr>
          <w:rFonts w:ascii="Arial" w:hAnsi="Arial" w:cs="Arial"/>
          <w:sz w:val="20"/>
          <w:szCs w:val="20"/>
        </w:rPr>
        <w:t xml:space="preserve">C </w:t>
      </w:r>
      <w:r w:rsidR="00246358">
        <w:rPr>
          <w:rFonts w:ascii="Arial" w:hAnsi="Arial" w:cs="Arial"/>
          <w:sz w:val="20"/>
          <w:szCs w:val="20"/>
        </w:rPr>
        <w:t>S</w:t>
      </w:r>
      <w:r w:rsidR="001C32EB">
        <w:rPr>
          <w:rFonts w:ascii="Arial" w:hAnsi="Arial" w:cs="Arial"/>
          <w:sz w:val="20"/>
          <w:szCs w:val="20"/>
        </w:rPr>
        <w:t xml:space="preserve">olid </w:t>
      </w:r>
      <w:r w:rsidR="00246358">
        <w:rPr>
          <w:rFonts w:ascii="Arial" w:hAnsi="Arial" w:cs="Arial"/>
          <w:sz w:val="20"/>
          <w:szCs w:val="20"/>
        </w:rPr>
        <w:t>S</w:t>
      </w:r>
      <w:r w:rsidR="001C32EB">
        <w:rPr>
          <w:rFonts w:ascii="Arial" w:hAnsi="Arial" w:cs="Arial"/>
          <w:sz w:val="20"/>
          <w:szCs w:val="20"/>
        </w:rPr>
        <w:t>tate</w:t>
      </w:r>
      <w:r w:rsidR="00246358">
        <w:rPr>
          <w:rFonts w:ascii="Arial" w:hAnsi="Arial" w:cs="Arial"/>
          <w:sz w:val="20"/>
          <w:szCs w:val="20"/>
        </w:rPr>
        <w:t xml:space="preserve"> NMR</w:t>
      </w:r>
      <w:r w:rsidR="00246358" w:rsidRPr="00DA1407">
        <w:rPr>
          <w:rFonts w:ascii="Arial" w:hAnsi="Arial" w:cs="Arial"/>
          <w:sz w:val="20"/>
          <w:szCs w:val="20"/>
        </w:rPr>
        <w:t xml:space="preserve"> </w:t>
      </w:r>
      <w:r w:rsidR="00246358">
        <w:rPr>
          <w:rFonts w:ascii="Arial" w:hAnsi="Arial" w:cs="Arial"/>
          <w:sz w:val="20"/>
          <w:szCs w:val="20"/>
        </w:rPr>
        <w:t>sprectra of dried, ground samples were obtained using a Bruker Avance II 500 MHz Spectrometer with a 3.2 mm H/C/N MAS probe at the AMRIS Facility. Spectra peaks were integrated to determine percent of C functional groups: carboxyl</w:t>
      </w:r>
      <w:r w:rsidR="00246358" w:rsidRPr="00DA1407">
        <w:rPr>
          <w:rFonts w:ascii="Arial" w:hAnsi="Arial" w:cs="Arial"/>
          <w:sz w:val="20"/>
          <w:szCs w:val="20"/>
        </w:rPr>
        <w:t xml:space="preserve">, </w:t>
      </w:r>
      <w:r w:rsidR="00246358">
        <w:rPr>
          <w:rFonts w:ascii="Arial" w:hAnsi="Arial" w:cs="Arial"/>
          <w:sz w:val="20"/>
          <w:szCs w:val="20"/>
        </w:rPr>
        <w:t>aromatic, O-alk</w:t>
      </w:r>
      <w:r w:rsidR="00840F02">
        <w:rPr>
          <w:rFonts w:ascii="Arial" w:hAnsi="Arial" w:cs="Arial"/>
          <w:sz w:val="20"/>
          <w:szCs w:val="20"/>
        </w:rPr>
        <w:t>yl, methoxyl, and alkyl</w:t>
      </w:r>
      <w:r w:rsidR="00D17A6F">
        <w:rPr>
          <w:rFonts w:ascii="Arial" w:hAnsi="Arial" w:cs="Arial"/>
          <w:sz w:val="20"/>
          <w:szCs w:val="20"/>
        </w:rPr>
        <w:t xml:space="preserve"> C</w:t>
      </w:r>
      <w:r w:rsidR="00246358">
        <w:rPr>
          <w:rFonts w:ascii="Arial" w:hAnsi="Arial" w:cs="Arial"/>
          <w:sz w:val="20"/>
          <w:szCs w:val="20"/>
        </w:rPr>
        <w:t>.</w:t>
      </w:r>
      <w:r w:rsidR="00AB70C0">
        <w:rPr>
          <w:rFonts w:ascii="Arial" w:hAnsi="Arial" w:cs="Arial"/>
          <w:sz w:val="20"/>
          <w:szCs w:val="20"/>
        </w:rPr>
        <w:t xml:space="preserve"> </w:t>
      </w:r>
      <w:r w:rsidR="00D17A6F" w:rsidRPr="00D17A6F">
        <w:rPr>
          <w:rFonts w:ascii="Arial" w:hAnsi="Arial" w:cs="Arial"/>
          <w:sz w:val="20"/>
          <w:szCs w:val="20"/>
        </w:rPr>
        <w:t>We then incubated a representative subset of the soils under drained (aerobic) soil conditions to determine how organic matter composition influences carbon dioxide (CO</w:t>
      </w:r>
      <w:r w:rsidR="00D17A6F" w:rsidRPr="00D17A6F">
        <w:rPr>
          <w:rFonts w:ascii="Arial" w:hAnsi="Arial" w:cs="Arial"/>
          <w:sz w:val="20"/>
          <w:szCs w:val="20"/>
          <w:vertAlign w:val="subscript"/>
        </w:rPr>
        <w:t>2</w:t>
      </w:r>
      <w:r w:rsidR="00D17A6F" w:rsidRPr="00D17A6F">
        <w:rPr>
          <w:rFonts w:ascii="Arial" w:hAnsi="Arial" w:cs="Arial"/>
          <w:sz w:val="20"/>
          <w:szCs w:val="20"/>
        </w:rPr>
        <w:t>) emissions.</w:t>
      </w:r>
      <w:r w:rsidR="00D17A6F" w:rsidRPr="00D17A6F">
        <w:rPr>
          <w:noProof/>
        </w:rPr>
        <w:t xml:space="preserve"> </w:t>
      </w:r>
    </w:p>
    <w:p w14:paraId="12F4AE1B" w14:textId="4A594ADE" w:rsidR="004A545D" w:rsidRDefault="004A545D" w:rsidP="0049187D">
      <w:pPr>
        <w:tabs>
          <w:tab w:val="left" w:pos="360"/>
        </w:tabs>
        <w:rPr>
          <w:rFonts w:ascii="Arial" w:hAnsi="Arial" w:cs="Arial"/>
          <w:b/>
          <w:sz w:val="20"/>
          <w:szCs w:val="20"/>
        </w:rPr>
      </w:pPr>
    </w:p>
    <w:p w14:paraId="19C8A173" w14:textId="576C02EF"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19C8A176" w14:textId="52025125" w:rsidR="00E25473" w:rsidRPr="006B3824" w:rsidRDefault="00D26BB4" w:rsidP="003C4C19">
      <w:pPr>
        <w:tabs>
          <w:tab w:val="left" w:pos="360"/>
        </w:tabs>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42368" behindDoc="0" locked="0" layoutInCell="1" allowOverlap="1" wp14:anchorId="19C8A194" wp14:editId="348B2405">
                <wp:simplePos x="0" y="0"/>
                <wp:positionH relativeFrom="margin">
                  <wp:posOffset>3683000</wp:posOffset>
                </wp:positionH>
                <wp:positionV relativeFrom="margin">
                  <wp:posOffset>6346190</wp:posOffset>
                </wp:positionV>
                <wp:extent cx="2780030" cy="4991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49911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8A1A7" w14:textId="665F6589" w:rsidR="00AA3C70" w:rsidRPr="00376D2C" w:rsidRDefault="00AA3C70" w:rsidP="00376D2C">
                            <w:pPr>
                              <w:rPr>
                                <w:rFonts w:ascii="Arial" w:hAnsi="Arial" w:cs="Arial"/>
                                <w:sz w:val="18"/>
                                <w:szCs w:val="18"/>
                              </w:rPr>
                            </w:pPr>
                            <w:r w:rsidRPr="00376D2C">
                              <w:rPr>
                                <w:rFonts w:ascii="Arial" w:hAnsi="Arial" w:cs="Arial"/>
                                <w:sz w:val="18"/>
                                <w:szCs w:val="18"/>
                              </w:rPr>
                              <w:t>Fig.</w:t>
                            </w:r>
                            <w:r w:rsidR="003118BC">
                              <w:rPr>
                                <w:rFonts w:ascii="Arial" w:hAnsi="Arial" w:cs="Arial"/>
                                <w:sz w:val="18"/>
                                <w:szCs w:val="18"/>
                              </w:rPr>
                              <w:t xml:space="preserve">2 </w:t>
                            </w:r>
                            <w:r w:rsidR="00D17A6F">
                              <w:rPr>
                                <w:rFonts w:ascii="Arial" w:hAnsi="Arial" w:cs="Arial"/>
                                <w:sz w:val="18"/>
                                <w:szCs w:val="18"/>
                              </w:rPr>
                              <w:t>Drainage results in increased CO</w:t>
                            </w:r>
                            <w:r w:rsidR="00D17A6F" w:rsidRPr="00D17A6F">
                              <w:rPr>
                                <w:rFonts w:ascii="Arial" w:hAnsi="Arial" w:cs="Arial"/>
                                <w:sz w:val="18"/>
                                <w:szCs w:val="18"/>
                                <w:vertAlign w:val="subscript"/>
                              </w:rPr>
                              <w:t>2</w:t>
                            </w:r>
                            <w:r w:rsidR="00D17A6F">
                              <w:rPr>
                                <w:rFonts w:ascii="Arial" w:hAnsi="Arial" w:cs="Arial"/>
                                <w:sz w:val="18"/>
                                <w:szCs w:val="18"/>
                              </w:rPr>
                              <w:t xml:space="preserve"> production from peat with greater proportion of </w:t>
                            </w:r>
                            <w:r w:rsidR="00D17A6F" w:rsidRPr="00D17A6F">
                              <w:rPr>
                                <w:rFonts w:ascii="Arial" w:hAnsi="Arial" w:cs="Arial"/>
                                <w:i/>
                                <w:sz w:val="18"/>
                                <w:szCs w:val="18"/>
                              </w:rPr>
                              <w:t>O</w:t>
                            </w:r>
                            <w:r w:rsidR="00D17A6F">
                              <w:rPr>
                                <w:rFonts w:ascii="Arial" w:hAnsi="Arial" w:cs="Arial"/>
                                <w:sz w:val="18"/>
                                <w:szCs w:val="18"/>
                              </w:rPr>
                              <w:t xml:space="preserve">-alkyl C. increased. </w:t>
                            </w:r>
                            <w:r w:rsidRPr="00A44FAC">
                              <w:rPr>
                                <w:rFonts w:ascii="Arial" w:hAnsi="Arial" w:cs="Arial"/>
                                <w:i/>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0pt;margin-top:499.7pt;width:218.9pt;height:39.3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" filled="f" stroked="f">
                <v:textbox>
                  <w:txbxContent>
                    <w:p w14:paraId="19C8A1A7" w14:textId="665F6589" w:rsidR="00AA3C70" w:rsidRPr="00376D2C" w:rsidRDefault="00AA3C70" w:rsidP="00376D2C">
                      <w:pPr>
                        <w:rPr>
                          <w:rFonts w:ascii="Arial" w:hAnsi="Arial" w:cs="Arial"/>
                          <w:sz w:val="18"/>
                          <w:szCs w:val="18"/>
                        </w:rPr>
                      </w:pPr>
                      <w:r w:rsidRPr="00376D2C">
                        <w:rPr>
                          <w:rFonts w:ascii="Arial" w:hAnsi="Arial" w:cs="Arial"/>
                          <w:sz w:val="18"/>
                          <w:szCs w:val="18"/>
                        </w:rPr>
                        <w:t>Fig.</w:t>
                      </w:r>
                      <w:r w:rsidR="003118BC">
                        <w:rPr>
                          <w:rFonts w:ascii="Arial" w:hAnsi="Arial" w:cs="Arial"/>
                          <w:sz w:val="18"/>
                          <w:szCs w:val="18"/>
                        </w:rPr>
                        <w:t xml:space="preserve">2 </w:t>
                      </w:r>
                      <w:r w:rsidR="00D17A6F">
                        <w:rPr>
                          <w:rFonts w:ascii="Arial" w:hAnsi="Arial" w:cs="Arial"/>
                          <w:sz w:val="18"/>
                          <w:szCs w:val="18"/>
                        </w:rPr>
                        <w:t>Drainage results in increased CO</w:t>
                      </w:r>
                      <w:r w:rsidR="00D17A6F" w:rsidRPr="00D17A6F">
                        <w:rPr>
                          <w:rFonts w:ascii="Arial" w:hAnsi="Arial" w:cs="Arial"/>
                          <w:sz w:val="18"/>
                          <w:szCs w:val="18"/>
                          <w:vertAlign w:val="subscript"/>
                        </w:rPr>
                        <w:t>2</w:t>
                      </w:r>
                      <w:r w:rsidR="00D17A6F">
                        <w:rPr>
                          <w:rFonts w:ascii="Arial" w:hAnsi="Arial" w:cs="Arial"/>
                          <w:sz w:val="18"/>
                          <w:szCs w:val="18"/>
                        </w:rPr>
                        <w:t xml:space="preserve"> production from peat with greater proportion of </w:t>
                      </w:r>
                      <w:r w:rsidR="00D17A6F" w:rsidRPr="00D17A6F">
                        <w:rPr>
                          <w:rFonts w:ascii="Arial" w:hAnsi="Arial" w:cs="Arial"/>
                          <w:i/>
                          <w:sz w:val="18"/>
                          <w:szCs w:val="18"/>
                        </w:rPr>
                        <w:t>O</w:t>
                      </w:r>
                      <w:r w:rsidR="00D17A6F">
                        <w:rPr>
                          <w:rFonts w:ascii="Arial" w:hAnsi="Arial" w:cs="Arial"/>
                          <w:sz w:val="18"/>
                          <w:szCs w:val="18"/>
                        </w:rPr>
                        <w:t xml:space="preserve">-alkyl C. increased. </w:t>
                      </w:r>
                      <w:r w:rsidRPr="00A44FAC">
                        <w:rPr>
                          <w:rFonts w:ascii="Arial" w:hAnsi="Arial" w:cs="Arial"/>
                          <w:i/>
                          <w:sz w:val="18"/>
                          <w:szCs w:val="18"/>
                        </w:rPr>
                        <w:t xml:space="preserve"> </w:t>
                      </w:r>
                    </w:p>
                  </w:txbxContent>
                </v:textbox>
                <w10:wrap type="square" anchorx="margin" anchory="margin"/>
              </v:shape>
            </w:pict>
          </mc:Fallback>
        </mc:AlternateContent>
      </w:r>
      <w:r w:rsidR="006B3824">
        <w:rPr>
          <w:rFonts w:ascii="Arial" w:hAnsi="Arial" w:cs="Arial"/>
          <w:sz w:val="20"/>
          <w:szCs w:val="20"/>
        </w:rPr>
        <w:tab/>
      </w:r>
      <w:r w:rsidR="00D17A6F" w:rsidRPr="00D17A6F">
        <w:rPr>
          <w:rFonts w:ascii="Arial" w:hAnsi="Arial" w:cs="Arial"/>
          <w:sz w:val="20"/>
          <w:szCs w:val="20"/>
        </w:rPr>
        <w:t xml:space="preserve">We find that peat chemistry differs markedly at the global scale </w:t>
      </w:r>
      <w:r w:rsidR="00D17A6F">
        <w:rPr>
          <w:rFonts w:ascii="Arial" w:hAnsi="Arial" w:cs="Arial"/>
          <w:sz w:val="20"/>
          <w:szCs w:val="20"/>
        </w:rPr>
        <w:t xml:space="preserve">(Fig.1) </w:t>
      </w:r>
      <w:r w:rsidR="00D17A6F" w:rsidRPr="00D17A6F">
        <w:rPr>
          <w:rFonts w:ascii="Arial" w:hAnsi="Arial" w:cs="Arial"/>
          <w:sz w:val="20"/>
          <w:szCs w:val="20"/>
        </w:rPr>
        <w:t>due to variation in mean annual temperature</w:t>
      </w:r>
      <w:r w:rsidR="00D17A6F">
        <w:rPr>
          <w:rFonts w:ascii="Arial" w:hAnsi="Arial" w:cs="Arial"/>
          <w:sz w:val="20"/>
          <w:szCs w:val="20"/>
        </w:rPr>
        <w:t xml:space="preserve"> (8.1%)</w:t>
      </w:r>
      <w:r w:rsidR="00D17A6F" w:rsidRPr="00D17A6F">
        <w:rPr>
          <w:rFonts w:ascii="Arial" w:hAnsi="Arial" w:cs="Arial"/>
          <w:sz w:val="20"/>
          <w:szCs w:val="20"/>
        </w:rPr>
        <w:t>, land use</w:t>
      </w:r>
      <w:r w:rsidR="00D17A6F">
        <w:rPr>
          <w:rFonts w:ascii="Arial" w:hAnsi="Arial" w:cs="Arial"/>
          <w:sz w:val="20"/>
          <w:szCs w:val="20"/>
        </w:rPr>
        <w:t xml:space="preserve"> (5.8%)</w:t>
      </w:r>
      <w:r w:rsidR="00D17A6F" w:rsidRPr="00D17A6F">
        <w:rPr>
          <w:rFonts w:ascii="Arial" w:hAnsi="Arial" w:cs="Arial"/>
          <w:sz w:val="20"/>
          <w:szCs w:val="20"/>
        </w:rPr>
        <w:t xml:space="preserve">, </w:t>
      </w:r>
      <w:r w:rsidR="00D17A6F">
        <w:rPr>
          <w:rFonts w:ascii="Arial" w:hAnsi="Arial" w:cs="Arial"/>
          <w:sz w:val="20"/>
          <w:szCs w:val="20"/>
        </w:rPr>
        <w:t xml:space="preserve">peat forming </w:t>
      </w:r>
      <w:r w:rsidR="00D17A6F" w:rsidRPr="00D17A6F">
        <w:rPr>
          <w:rFonts w:ascii="Arial" w:hAnsi="Arial" w:cs="Arial"/>
          <w:sz w:val="20"/>
          <w:szCs w:val="20"/>
        </w:rPr>
        <w:t>vegetation</w:t>
      </w:r>
      <w:r w:rsidR="00D17A6F">
        <w:rPr>
          <w:rFonts w:ascii="Arial" w:hAnsi="Arial" w:cs="Arial"/>
          <w:sz w:val="20"/>
          <w:szCs w:val="20"/>
        </w:rPr>
        <w:t xml:space="preserve"> (5.2%)</w:t>
      </w:r>
      <w:r w:rsidR="00D17A6F" w:rsidRPr="00D17A6F">
        <w:rPr>
          <w:rFonts w:ascii="Arial" w:hAnsi="Arial" w:cs="Arial"/>
          <w:sz w:val="20"/>
          <w:szCs w:val="20"/>
        </w:rPr>
        <w:t>, and nutrient status</w:t>
      </w:r>
      <w:r w:rsidR="00D17A6F">
        <w:rPr>
          <w:rFonts w:ascii="Arial" w:hAnsi="Arial" w:cs="Arial"/>
          <w:sz w:val="20"/>
          <w:szCs w:val="20"/>
        </w:rPr>
        <w:t xml:space="preserve"> (3.2%)</w:t>
      </w:r>
      <w:r w:rsidR="00D17A6F" w:rsidRPr="00D17A6F">
        <w:rPr>
          <w:rFonts w:ascii="Arial" w:hAnsi="Arial" w:cs="Arial"/>
          <w:sz w:val="20"/>
          <w:szCs w:val="20"/>
        </w:rPr>
        <w:t>. Despite this variation, greenhouse gas</w:t>
      </w:r>
      <w:r>
        <w:rPr>
          <w:rFonts w:ascii="Arial" w:hAnsi="Arial" w:cs="Arial"/>
          <w:sz w:val="20"/>
          <w:szCs w:val="20"/>
        </w:rPr>
        <w:t xml:space="preserve"> </w:t>
      </w:r>
      <w:r w:rsidR="00D17A6F" w:rsidRPr="00D17A6F">
        <w:rPr>
          <w:rFonts w:ascii="Arial" w:hAnsi="Arial" w:cs="Arial"/>
          <w:sz w:val="20"/>
          <w:szCs w:val="20"/>
        </w:rPr>
        <w:t>production following drainage can be predicted from soil carbon chemistry</w:t>
      </w:r>
      <w:r w:rsidR="00D17A6F">
        <w:rPr>
          <w:rFonts w:ascii="Arial" w:hAnsi="Arial" w:cs="Arial"/>
          <w:sz w:val="20"/>
          <w:szCs w:val="20"/>
        </w:rPr>
        <w:t xml:space="preserve"> (Fig.2; R</w:t>
      </w:r>
      <w:r w:rsidR="00D17A6F" w:rsidRPr="00D17A6F">
        <w:rPr>
          <w:rFonts w:ascii="Arial" w:hAnsi="Arial" w:cs="Arial"/>
          <w:sz w:val="20"/>
          <w:szCs w:val="20"/>
          <w:vertAlign w:val="superscript"/>
        </w:rPr>
        <w:t>2</w:t>
      </w:r>
      <w:r w:rsidR="00D17A6F">
        <w:rPr>
          <w:rFonts w:ascii="Arial" w:hAnsi="Arial" w:cs="Arial"/>
          <w:sz w:val="20"/>
          <w:szCs w:val="20"/>
        </w:rPr>
        <w:t>=0.88)</w:t>
      </w:r>
      <w:r w:rsidR="00D17A6F" w:rsidRPr="00D17A6F">
        <w:rPr>
          <w:rFonts w:ascii="Arial" w:hAnsi="Arial" w:cs="Arial"/>
          <w:sz w:val="20"/>
          <w:szCs w:val="20"/>
        </w:rPr>
        <w:t>, with greater CO</w:t>
      </w:r>
      <w:r w:rsidR="00D17A6F" w:rsidRPr="00D17A6F">
        <w:rPr>
          <w:rFonts w:ascii="Arial" w:hAnsi="Arial" w:cs="Arial"/>
          <w:sz w:val="20"/>
          <w:szCs w:val="20"/>
          <w:vertAlign w:val="subscript"/>
        </w:rPr>
        <w:t>2</w:t>
      </w:r>
      <w:r w:rsidR="00D17A6F" w:rsidRPr="00D17A6F">
        <w:rPr>
          <w:rFonts w:ascii="Arial" w:hAnsi="Arial" w:cs="Arial"/>
          <w:sz w:val="20"/>
          <w:szCs w:val="20"/>
        </w:rPr>
        <w:t xml:space="preserve"> fluxes from soils high in </w:t>
      </w:r>
      <w:r w:rsidR="00D17A6F" w:rsidRPr="00D17A6F">
        <w:rPr>
          <w:rFonts w:ascii="Arial" w:hAnsi="Arial" w:cs="Arial"/>
          <w:i/>
          <w:sz w:val="20"/>
          <w:szCs w:val="20"/>
        </w:rPr>
        <w:t>O</w:t>
      </w:r>
      <w:r w:rsidR="00D17A6F" w:rsidRPr="00D17A6F">
        <w:rPr>
          <w:rFonts w:ascii="Arial" w:hAnsi="Arial" w:cs="Arial"/>
          <w:sz w:val="20"/>
          <w:szCs w:val="20"/>
        </w:rPr>
        <w:t>-alkyl C (i.e. carbohydrates).</w:t>
      </w:r>
    </w:p>
    <w:p w14:paraId="19C8A177" w14:textId="4D91DE4E" w:rsidR="00E25473" w:rsidRPr="006B3824" w:rsidRDefault="00E25473" w:rsidP="0049187D">
      <w:pPr>
        <w:tabs>
          <w:tab w:val="left" w:pos="360"/>
        </w:tabs>
        <w:rPr>
          <w:rFonts w:ascii="Arial" w:hAnsi="Arial" w:cs="Arial"/>
          <w:sz w:val="20"/>
          <w:szCs w:val="20"/>
        </w:rPr>
      </w:pPr>
    </w:p>
    <w:p w14:paraId="19C8A178" w14:textId="75D1FFAD"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w:t>
      </w:r>
    </w:p>
    <w:p w14:paraId="19C8A17A" w14:textId="4292489F" w:rsidR="00734E94" w:rsidRPr="006B3824" w:rsidRDefault="006B3824" w:rsidP="0049187D">
      <w:pPr>
        <w:tabs>
          <w:tab w:val="left" w:pos="360"/>
        </w:tabs>
        <w:rPr>
          <w:rFonts w:ascii="Arial" w:hAnsi="Arial" w:cs="Arial"/>
          <w:sz w:val="20"/>
          <w:szCs w:val="20"/>
        </w:rPr>
      </w:pPr>
      <w:r>
        <w:rPr>
          <w:rFonts w:ascii="Arial" w:hAnsi="Arial" w:cs="Arial"/>
          <w:sz w:val="20"/>
          <w:szCs w:val="20"/>
        </w:rPr>
        <w:tab/>
      </w:r>
      <w:r w:rsidR="00D17A6F" w:rsidRPr="00D17A6F">
        <w:rPr>
          <w:rFonts w:ascii="Arial" w:hAnsi="Arial" w:cs="Arial"/>
          <w:sz w:val="20"/>
          <w:szCs w:val="20"/>
        </w:rPr>
        <w:t xml:space="preserve">Linking the global peatland survey and complimentary laboratory study, we propose that soil C chemistry, specifically </w:t>
      </w:r>
      <w:r w:rsidR="00D17A6F" w:rsidRPr="00D17A6F">
        <w:rPr>
          <w:rFonts w:ascii="Arial" w:hAnsi="Arial" w:cs="Arial"/>
          <w:i/>
          <w:sz w:val="20"/>
          <w:szCs w:val="20"/>
        </w:rPr>
        <w:t>O</w:t>
      </w:r>
      <w:r w:rsidR="00D17A6F" w:rsidRPr="00D17A6F">
        <w:rPr>
          <w:rFonts w:ascii="Arial" w:hAnsi="Arial" w:cs="Arial"/>
          <w:sz w:val="20"/>
          <w:szCs w:val="20"/>
        </w:rPr>
        <w:t xml:space="preserve">-alkyl C, can be used to predict risk of C gas fluxes from peatlands in response to perturbation. Global soil C models currently focus on pools using lignin/N ratios, but our study identifies </w:t>
      </w:r>
      <w:r w:rsidR="00D17A6F" w:rsidRPr="00D17A6F">
        <w:rPr>
          <w:rFonts w:ascii="Arial" w:hAnsi="Arial" w:cs="Arial"/>
          <w:i/>
          <w:sz w:val="20"/>
          <w:szCs w:val="20"/>
        </w:rPr>
        <w:t>O</w:t>
      </w:r>
      <w:r w:rsidR="00D17A6F" w:rsidRPr="00D17A6F">
        <w:rPr>
          <w:rFonts w:ascii="Arial" w:hAnsi="Arial" w:cs="Arial"/>
          <w:sz w:val="20"/>
          <w:szCs w:val="20"/>
        </w:rPr>
        <w:t>-alkyl C as the primary indicator of organic matter stability (28). Focusing on this class of C compounds provides a straightforward way to improve models and management decisions of peatlands.</w:t>
      </w:r>
    </w:p>
    <w:p w14:paraId="5750CC38" w14:textId="76CC73C3" w:rsidR="00D17A6F" w:rsidRDefault="00D17A6F" w:rsidP="00FB4399">
      <w:pPr>
        <w:tabs>
          <w:tab w:val="left" w:pos="360"/>
        </w:tabs>
        <w:rPr>
          <w:rFonts w:ascii="Arial" w:hAnsi="Arial" w:cs="Arial"/>
          <w:b/>
          <w:sz w:val="20"/>
          <w:szCs w:val="20"/>
        </w:rPr>
      </w:pPr>
    </w:p>
    <w:p w14:paraId="19C8A17B" w14:textId="4D373A82"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19C8A191" w14:textId="077A279E" w:rsidR="00F908F6" w:rsidRDefault="00FB4399" w:rsidP="0049187D">
      <w:pPr>
        <w:tabs>
          <w:tab w:val="left" w:pos="360"/>
        </w:tabs>
        <w:rPr>
          <w:rFonts w:ascii="Arial" w:hAnsi="Arial" w:cs="Arial"/>
          <w:sz w:val="20"/>
          <w:szCs w:val="20"/>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491C5D">
        <w:rPr>
          <w:rFonts w:ascii="Arial" w:eastAsia="Times New Roman" w:hAnsi="Arial" w:cs="Arial"/>
          <w:sz w:val="20"/>
          <w:szCs w:val="20"/>
          <w:lang w:eastAsia="en-US"/>
        </w:rPr>
        <w:t xml:space="preserve">. </w:t>
      </w:r>
      <w:r w:rsidRPr="00FB4399">
        <w:rPr>
          <w:rFonts w:ascii="Arial" w:hAnsi="Arial" w:cs="Arial"/>
          <w:sz w:val="20"/>
          <w:szCs w:val="20"/>
        </w:rPr>
        <w:t xml:space="preserve"> </w:t>
      </w:r>
      <w:r w:rsidR="00CE3A4E" w:rsidRPr="00CE3A4E">
        <w:rPr>
          <w:rFonts w:ascii="Arial" w:hAnsi="Arial" w:cs="Arial"/>
          <w:sz w:val="20"/>
          <w:szCs w:val="20"/>
        </w:rPr>
        <w:t xml:space="preserve">This material is based upon work supported by the NSF GRFP under Grant No. DGE-1315138, </w:t>
      </w:r>
      <w:r w:rsidR="00F30ADB">
        <w:rPr>
          <w:rFonts w:ascii="Arial" w:hAnsi="Arial" w:cs="Arial"/>
          <w:sz w:val="20"/>
          <w:szCs w:val="20"/>
        </w:rPr>
        <w:t xml:space="preserve">and </w:t>
      </w:r>
      <w:r w:rsidR="00CE3A4E" w:rsidRPr="00CE3A4E">
        <w:rPr>
          <w:rFonts w:ascii="Arial" w:hAnsi="Arial" w:cs="Arial"/>
          <w:sz w:val="20"/>
          <w:szCs w:val="20"/>
        </w:rPr>
        <w:t xml:space="preserve">NSF GROW </w:t>
      </w:r>
      <w:r w:rsidR="00FD644B">
        <w:rPr>
          <w:rFonts w:ascii="Arial" w:hAnsi="Arial" w:cs="Arial"/>
          <w:sz w:val="20"/>
          <w:szCs w:val="20"/>
        </w:rPr>
        <w:t xml:space="preserve">and GRIP </w:t>
      </w:r>
      <w:r w:rsidR="00CE3A4E" w:rsidRPr="00CE3A4E">
        <w:rPr>
          <w:rFonts w:ascii="Arial" w:hAnsi="Arial" w:cs="Arial"/>
          <w:sz w:val="20"/>
          <w:szCs w:val="20"/>
        </w:rPr>
        <w:t>travel award</w:t>
      </w:r>
      <w:r w:rsidR="00FD644B">
        <w:rPr>
          <w:rFonts w:ascii="Arial" w:hAnsi="Arial" w:cs="Arial"/>
          <w:sz w:val="20"/>
          <w:szCs w:val="20"/>
        </w:rPr>
        <w:t>s</w:t>
      </w:r>
      <w:r w:rsidR="003416C1">
        <w:rPr>
          <w:rFonts w:ascii="Arial" w:hAnsi="Arial" w:cs="Arial"/>
          <w:sz w:val="20"/>
          <w:szCs w:val="20"/>
        </w:rPr>
        <w:t>.</w:t>
      </w:r>
    </w:p>
    <w:p w14:paraId="70974F7E" w14:textId="63199E27" w:rsidR="003A4E85" w:rsidRPr="003A4E85" w:rsidRDefault="003A4E85" w:rsidP="0049187D">
      <w:pPr>
        <w:tabs>
          <w:tab w:val="left" w:pos="360"/>
        </w:tabs>
        <w:rPr>
          <w:rFonts w:ascii="Arial" w:hAnsi="Arial" w:cs="Arial"/>
          <w:sz w:val="20"/>
          <w:szCs w:val="20"/>
        </w:rPr>
      </w:pPr>
    </w:p>
    <w:sectPr w:rsidR="003A4E85" w:rsidRPr="003A4E85"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A641" w14:textId="77777777" w:rsidR="008565FC" w:rsidRDefault="008565FC">
      <w:r>
        <w:separator/>
      </w:r>
    </w:p>
  </w:endnote>
  <w:endnote w:type="continuationSeparator" w:id="0">
    <w:p w14:paraId="59E8609E" w14:textId="77777777" w:rsidR="008565FC" w:rsidRDefault="0085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A5D89" w14:textId="77777777" w:rsidR="008565FC" w:rsidRDefault="008565FC">
      <w:r>
        <w:separator/>
      </w:r>
    </w:p>
  </w:footnote>
  <w:footnote w:type="continuationSeparator" w:id="0">
    <w:p w14:paraId="7F0D5233" w14:textId="77777777" w:rsidR="008565FC" w:rsidRDefault="00856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A19D" w14:textId="77777777" w:rsidR="00AA3C70" w:rsidRDefault="00AA3C70"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19C8A1A2" wp14:editId="19C8A1A3">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56B29" w14:textId="77777777" w:rsidR="00D407DB" w:rsidRPr="00091A2B" w:rsidRDefault="00D407DB" w:rsidP="00D407DB">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14:paraId="7EFCAC6D" w14:textId="77777777" w:rsidR="00D407DB" w:rsidRPr="00091A2B" w:rsidRDefault="00D407DB" w:rsidP="00D407DB">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19C8A1A9" w14:textId="59072CFA" w:rsidR="00AA3C70" w:rsidRPr="00306550" w:rsidRDefault="00AA3C70" w:rsidP="001E6BF4">
                          <w:pPr>
                            <w:jc w:val="center"/>
                            <w:rPr>
                              <w:rFonts w:ascii="Arial" w:hAnsi="Arial" w:cs="Arial"/>
                              <w:b/>
                              <w:color w:val="17365D"/>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14:paraId="03556B29" w14:textId="77777777" w:rsidR="00D407DB" w:rsidRPr="00091A2B" w:rsidRDefault="00D407DB" w:rsidP="00D407DB">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14:paraId="7EFCAC6D" w14:textId="77777777" w:rsidR="00D407DB" w:rsidRPr="00091A2B" w:rsidRDefault="00D407DB" w:rsidP="00D407DB">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19C8A1A9" w14:textId="59072CFA" w:rsidR="00AA3C70" w:rsidRPr="00306550" w:rsidRDefault="00AA3C70" w:rsidP="001E6BF4">
                    <w:pPr>
                      <w:jc w:val="center"/>
                      <w:rPr>
                        <w:rFonts w:ascii="Arial" w:hAnsi="Arial" w:cs="Arial"/>
                        <w:b/>
                        <w:color w:val="17365D"/>
                        <w:sz w:val="22"/>
                        <w:szCs w:val="22"/>
                      </w:rPr>
                    </w:pPr>
                  </w:p>
                </w:txbxContent>
              </v:textbox>
            </v:shape>
          </w:pict>
        </mc:Fallback>
      </mc:AlternateContent>
    </w:r>
    <w:r>
      <w:rPr>
        <w:rFonts w:ascii="Arial" w:hAnsi="Arial" w:cs="Arial"/>
        <w:b/>
        <w:bCs/>
        <w:smallCaps/>
        <w:noProof/>
        <w:color w:val="1F497D"/>
        <w:spacing w:val="5"/>
        <w:sz w:val="22"/>
        <w:szCs w:val="22"/>
        <w:lang w:eastAsia="en-US"/>
      </w:rPr>
      <w:drawing>
        <wp:inline distT="0" distB="0" distL="0" distR="0" wp14:anchorId="19C8A1A4" wp14:editId="3721EF7B">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221AD"/>
    <w:rsid w:val="000372C7"/>
    <w:rsid w:val="000558AC"/>
    <w:rsid w:val="000736B9"/>
    <w:rsid w:val="000A1716"/>
    <w:rsid w:val="000A59A8"/>
    <w:rsid w:val="000A6637"/>
    <w:rsid w:val="000E1D4F"/>
    <w:rsid w:val="000E547A"/>
    <w:rsid w:val="00104A4C"/>
    <w:rsid w:val="00113D92"/>
    <w:rsid w:val="00120180"/>
    <w:rsid w:val="0014131B"/>
    <w:rsid w:val="00141FE9"/>
    <w:rsid w:val="00155AD2"/>
    <w:rsid w:val="001639A5"/>
    <w:rsid w:val="00164585"/>
    <w:rsid w:val="00167606"/>
    <w:rsid w:val="0018419E"/>
    <w:rsid w:val="0018697C"/>
    <w:rsid w:val="00187023"/>
    <w:rsid w:val="001B33D4"/>
    <w:rsid w:val="001C32EB"/>
    <w:rsid w:val="001D4FC5"/>
    <w:rsid w:val="001E526E"/>
    <w:rsid w:val="001E5ECF"/>
    <w:rsid w:val="001E6BF4"/>
    <w:rsid w:val="00231335"/>
    <w:rsid w:val="00233F11"/>
    <w:rsid w:val="00237E34"/>
    <w:rsid w:val="00241739"/>
    <w:rsid w:val="002426D5"/>
    <w:rsid w:val="00246358"/>
    <w:rsid w:val="002524EE"/>
    <w:rsid w:val="00265A15"/>
    <w:rsid w:val="00290223"/>
    <w:rsid w:val="002C7675"/>
    <w:rsid w:val="002F195F"/>
    <w:rsid w:val="00306550"/>
    <w:rsid w:val="003100DA"/>
    <w:rsid w:val="003118BC"/>
    <w:rsid w:val="00312C04"/>
    <w:rsid w:val="00334CEB"/>
    <w:rsid w:val="003416C1"/>
    <w:rsid w:val="003560D2"/>
    <w:rsid w:val="00363C8F"/>
    <w:rsid w:val="00376D2C"/>
    <w:rsid w:val="00387D38"/>
    <w:rsid w:val="00393065"/>
    <w:rsid w:val="003A1FF5"/>
    <w:rsid w:val="003A4E85"/>
    <w:rsid w:val="003C4C19"/>
    <w:rsid w:val="003C6493"/>
    <w:rsid w:val="003E2F8E"/>
    <w:rsid w:val="003F55A7"/>
    <w:rsid w:val="003F6E7E"/>
    <w:rsid w:val="00410D2C"/>
    <w:rsid w:val="00420894"/>
    <w:rsid w:val="00450C97"/>
    <w:rsid w:val="00486FF9"/>
    <w:rsid w:val="0049187D"/>
    <w:rsid w:val="00491C5D"/>
    <w:rsid w:val="004A227C"/>
    <w:rsid w:val="004A545D"/>
    <w:rsid w:val="004F160B"/>
    <w:rsid w:val="00511F7E"/>
    <w:rsid w:val="005173CE"/>
    <w:rsid w:val="0053142A"/>
    <w:rsid w:val="005452B9"/>
    <w:rsid w:val="00583077"/>
    <w:rsid w:val="00583BC3"/>
    <w:rsid w:val="005A1B84"/>
    <w:rsid w:val="005C4667"/>
    <w:rsid w:val="005C5648"/>
    <w:rsid w:val="005E508A"/>
    <w:rsid w:val="00625028"/>
    <w:rsid w:val="00627F7D"/>
    <w:rsid w:val="006612DC"/>
    <w:rsid w:val="00672D41"/>
    <w:rsid w:val="006762E0"/>
    <w:rsid w:val="006B3824"/>
    <w:rsid w:val="006C1448"/>
    <w:rsid w:val="006C1A7A"/>
    <w:rsid w:val="006D745E"/>
    <w:rsid w:val="006E2CE0"/>
    <w:rsid w:val="006E4A9F"/>
    <w:rsid w:val="006F23AB"/>
    <w:rsid w:val="007207FF"/>
    <w:rsid w:val="00731C19"/>
    <w:rsid w:val="00734E94"/>
    <w:rsid w:val="00764C3F"/>
    <w:rsid w:val="00764FB5"/>
    <w:rsid w:val="00774A49"/>
    <w:rsid w:val="007C0813"/>
    <w:rsid w:val="007D3105"/>
    <w:rsid w:val="007E2D2D"/>
    <w:rsid w:val="007E2F28"/>
    <w:rsid w:val="00840F02"/>
    <w:rsid w:val="008565FC"/>
    <w:rsid w:val="00862CB5"/>
    <w:rsid w:val="00883638"/>
    <w:rsid w:val="00890E9B"/>
    <w:rsid w:val="008B05B8"/>
    <w:rsid w:val="008C5788"/>
    <w:rsid w:val="008E3087"/>
    <w:rsid w:val="008E5BC5"/>
    <w:rsid w:val="008E5C85"/>
    <w:rsid w:val="008F35CC"/>
    <w:rsid w:val="009648AC"/>
    <w:rsid w:val="00973254"/>
    <w:rsid w:val="009A39F6"/>
    <w:rsid w:val="009A3F73"/>
    <w:rsid w:val="009B41B2"/>
    <w:rsid w:val="009C318D"/>
    <w:rsid w:val="009C3B19"/>
    <w:rsid w:val="009C3DF0"/>
    <w:rsid w:val="009C7F31"/>
    <w:rsid w:val="009D39A4"/>
    <w:rsid w:val="009E4F1E"/>
    <w:rsid w:val="00A10DEE"/>
    <w:rsid w:val="00A1227A"/>
    <w:rsid w:val="00A22BF9"/>
    <w:rsid w:val="00A44FAC"/>
    <w:rsid w:val="00A55035"/>
    <w:rsid w:val="00A93030"/>
    <w:rsid w:val="00A94FC4"/>
    <w:rsid w:val="00AA3312"/>
    <w:rsid w:val="00AA3C70"/>
    <w:rsid w:val="00AB70C0"/>
    <w:rsid w:val="00AC297F"/>
    <w:rsid w:val="00AC4AFE"/>
    <w:rsid w:val="00AE142B"/>
    <w:rsid w:val="00B00CDB"/>
    <w:rsid w:val="00B0413B"/>
    <w:rsid w:val="00B25D4D"/>
    <w:rsid w:val="00B45112"/>
    <w:rsid w:val="00B5585D"/>
    <w:rsid w:val="00B65CCF"/>
    <w:rsid w:val="00B71405"/>
    <w:rsid w:val="00B75DC9"/>
    <w:rsid w:val="00B94321"/>
    <w:rsid w:val="00B95FCB"/>
    <w:rsid w:val="00B96080"/>
    <w:rsid w:val="00BA00BE"/>
    <w:rsid w:val="00BA7096"/>
    <w:rsid w:val="00BD62A3"/>
    <w:rsid w:val="00BE2257"/>
    <w:rsid w:val="00C02989"/>
    <w:rsid w:val="00C076C7"/>
    <w:rsid w:val="00C13313"/>
    <w:rsid w:val="00C30AB9"/>
    <w:rsid w:val="00C75A17"/>
    <w:rsid w:val="00C81666"/>
    <w:rsid w:val="00C83434"/>
    <w:rsid w:val="00C83EAA"/>
    <w:rsid w:val="00C93F0D"/>
    <w:rsid w:val="00CA6625"/>
    <w:rsid w:val="00CB0819"/>
    <w:rsid w:val="00CB1A7C"/>
    <w:rsid w:val="00CB4058"/>
    <w:rsid w:val="00CC5B40"/>
    <w:rsid w:val="00CE3A4E"/>
    <w:rsid w:val="00CE3F90"/>
    <w:rsid w:val="00CF7B81"/>
    <w:rsid w:val="00D01F6B"/>
    <w:rsid w:val="00D0313F"/>
    <w:rsid w:val="00D05EE5"/>
    <w:rsid w:val="00D07879"/>
    <w:rsid w:val="00D1756D"/>
    <w:rsid w:val="00D17A6F"/>
    <w:rsid w:val="00D26BB4"/>
    <w:rsid w:val="00D407DB"/>
    <w:rsid w:val="00D65CBB"/>
    <w:rsid w:val="00D67B56"/>
    <w:rsid w:val="00D851F6"/>
    <w:rsid w:val="00DD44E5"/>
    <w:rsid w:val="00E04B24"/>
    <w:rsid w:val="00E07ED9"/>
    <w:rsid w:val="00E25473"/>
    <w:rsid w:val="00E411D1"/>
    <w:rsid w:val="00E43BB4"/>
    <w:rsid w:val="00E57E61"/>
    <w:rsid w:val="00EA1E33"/>
    <w:rsid w:val="00EB489A"/>
    <w:rsid w:val="00EB515D"/>
    <w:rsid w:val="00EB6787"/>
    <w:rsid w:val="00F2168E"/>
    <w:rsid w:val="00F23F2F"/>
    <w:rsid w:val="00F30ADB"/>
    <w:rsid w:val="00F31351"/>
    <w:rsid w:val="00F31B06"/>
    <w:rsid w:val="00F43581"/>
    <w:rsid w:val="00F4530F"/>
    <w:rsid w:val="00F45B22"/>
    <w:rsid w:val="00F54466"/>
    <w:rsid w:val="00F8198A"/>
    <w:rsid w:val="00F908F6"/>
    <w:rsid w:val="00F95583"/>
    <w:rsid w:val="00F974C6"/>
    <w:rsid w:val="00FB4399"/>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19C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2</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2010-10-01T13:54:00Z</cp:lastPrinted>
  <dcterms:created xsi:type="dcterms:W3CDTF">2017-12-29T20:59:00Z</dcterms:created>
  <dcterms:modified xsi:type="dcterms:W3CDTF">2018-04-04T20:40:00Z</dcterms:modified>
</cp:coreProperties>
</file>