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B" w:rsidRDefault="00C940C4">
      <w:pPr>
        <w:tabs>
          <w:tab w:val="left" w:pos="3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Angle-dependent phase diagram of URu</w:t>
      </w:r>
      <w:r>
        <w:rPr>
          <w:rFonts w:ascii="Arial" w:eastAsia="Arial" w:hAnsi="Arial" w:cs="Arial"/>
          <w:b/>
          <w:vertAlign w:val="subscript"/>
        </w:rPr>
        <w:t>2-x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vertAlign w:val="subscript"/>
        </w:rPr>
        <w:t>x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vertAlign w:val="subscript"/>
        </w:rPr>
        <w:t>2</w:t>
      </w:r>
      <w:r>
        <w:rPr>
          <w:rFonts w:ascii="Arial" w:eastAsia="Arial" w:hAnsi="Arial" w:cs="Arial"/>
          <w:b/>
        </w:rPr>
        <w:t xml:space="preserve"> around the hidden order</w:t>
      </w:r>
    </w:p>
    <w:p w:rsidR="005E28DB" w:rsidRDefault="005E28DB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Pouse, N., Ran, S., </w:t>
      </w:r>
      <w:r w:rsidR="00CE6029">
        <w:rPr>
          <w:rFonts w:ascii="Arial" w:eastAsia="Arial" w:hAnsi="Arial" w:cs="Arial"/>
          <w:sz w:val="20"/>
          <w:szCs w:val="20"/>
          <w:u w:val="single"/>
        </w:rPr>
        <w:t>Maple, M.</w:t>
      </w:r>
      <w:r>
        <w:rPr>
          <w:rFonts w:ascii="Arial" w:eastAsia="Arial" w:hAnsi="Arial" w:cs="Arial"/>
          <w:sz w:val="20"/>
          <w:szCs w:val="20"/>
          <w:u w:val="single"/>
        </w:rPr>
        <w:t>B.</w:t>
      </w:r>
      <w:r>
        <w:rPr>
          <w:rFonts w:ascii="Arial" w:eastAsia="Arial" w:hAnsi="Arial" w:cs="Arial"/>
          <w:sz w:val="20"/>
          <w:szCs w:val="20"/>
        </w:rPr>
        <w:t xml:space="preserve"> (UCSD, Physics); Baumbach, R. (FSU, NHMFL); Balakirev, F. and Singleton, J. (LANL, NHMFL)</w:t>
      </w:r>
    </w:p>
    <w:p w:rsidR="005E28DB" w:rsidRDefault="005E28DB">
      <w:pPr>
        <w:pBdr>
          <w:bottom w:val="single" w:sz="12" w:space="1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E28DB" w:rsidRDefault="005E28DB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Introduction</w:t>
      </w: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The heavy fermion system URu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has long been a topic of great interest in condensed matter physics, as the nature of its so-called “hidden order” phase (HO) has remained a mystery for decades. Many attempts at novel characterizations for this compound have been made in order to uncover</w:t>
      </w:r>
      <w:r>
        <w:rPr>
          <w:rFonts w:ascii="Arial" w:eastAsia="Arial" w:hAnsi="Arial" w:cs="Arial"/>
          <w:sz w:val="20"/>
          <w:szCs w:val="20"/>
        </w:rPr>
        <w:t xml:space="preserve"> the underlying physics manifested as the HO. </w:t>
      </w:r>
    </w:p>
    <w:p w:rsidR="005E28DB" w:rsidRDefault="005E28DB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Experimental</w:t>
      </w:r>
    </w:p>
    <w:p w:rsidR="005E28DB" w:rsidRDefault="00C940C4">
      <w:pPr>
        <w:tabs>
          <w:tab w:val="left" w:pos="360"/>
        </w:tabs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performed experiments on single crystals of URu</w:t>
      </w:r>
      <w:r>
        <w:rPr>
          <w:rFonts w:ascii="Arial" w:eastAsia="Arial" w:hAnsi="Arial" w:cs="Arial"/>
          <w:sz w:val="20"/>
          <w:szCs w:val="20"/>
          <w:vertAlign w:val="subscript"/>
        </w:rPr>
        <w:t>2-x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  <w:vertAlign w:val="subscript"/>
        </w:rPr>
        <w:t>x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at the NHMFL in LANL, in order to probe the nature of the HO and large-moment antiferromagnetic (LMAFM) phases in this compound. Our me</w:t>
      </w:r>
      <w:r>
        <w:rPr>
          <w:rFonts w:ascii="Arial" w:eastAsia="Arial" w:hAnsi="Arial" w:cs="Arial"/>
          <w:sz w:val="20"/>
          <w:szCs w:val="20"/>
        </w:rPr>
        <w:t xml:space="preserve">asurements at LANL used a pulsed magnet up to fields of 65 T where we measured the magnetoresistance at multiple temperatures for concentrations, x = 0, 0.2, covering the HO and LMAFM sides of the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vs.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phase diagram previously mapped to high fields by R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i/>
          <w:sz w:val="20"/>
          <w:szCs w:val="20"/>
        </w:rPr>
        <w:t>et al.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  <w:vertAlign w:val="superscript"/>
        </w:rPr>
        <w:t>[1]</w:t>
      </w:r>
      <w:r>
        <w:rPr>
          <w:rFonts w:ascii="Arial" w:eastAsia="Arial" w:hAnsi="Arial" w:cs="Arial"/>
          <w:sz w:val="20"/>
          <w:szCs w:val="20"/>
        </w:rPr>
        <w:t xml:space="preserve"> with magnetic field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applied at various angles </w:t>
      </w:r>
      <w:r>
        <w:rPr>
          <w:rFonts w:ascii="Arial" w:eastAsia="Arial" w:hAnsi="Arial" w:cs="Arial"/>
          <w:i/>
          <w:sz w:val="20"/>
          <w:szCs w:val="20"/>
        </w:rPr>
        <w:t>θ</w:t>
      </w:r>
      <w:r>
        <w:rPr>
          <w:rFonts w:ascii="Arial" w:eastAsia="Arial" w:hAnsi="Arial" w:cs="Arial"/>
          <w:sz w:val="20"/>
          <w:szCs w:val="20"/>
        </w:rPr>
        <w:t xml:space="preserve"> between the c-axis and the ab-plane from -90 to +90 degrees. At fixed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we swept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through the HO and LMAFM transitions for the x = 0 and 0.2 samples, respectively, with </w:t>
      </w:r>
      <w:r>
        <w:rPr>
          <w:rFonts w:ascii="Arial" w:eastAsia="Arial" w:hAnsi="Arial" w:cs="Arial"/>
          <w:i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 xml:space="preserve">at several fixed </w:t>
      </w:r>
      <w:r>
        <w:rPr>
          <w:rFonts w:ascii="Arial" w:eastAsia="Arial" w:hAnsi="Arial" w:cs="Arial"/>
          <w:i/>
          <w:sz w:val="20"/>
          <w:szCs w:val="20"/>
        </w:rPr>
        <w:t>θ</w:t>
      </w:r>
      <w:r>
        <w:rPr>
          <w:rFonts w:ascii="Arial" w:eastAsia="Arial" w:hAnsi="Arial" w:cs="Arial"/>
          <w:sz w:val="20"/>
          <w:szCs w:val="20"/>
        </w:rPr>
        <w:t xml:space="preserve">, in order to characterize the behavior of the field-induced phase transitions as a function of angle. </w:t>
      </w:r>
    </w:p>
    <w:p w:rsidR="005E28DB" w:rsidRDefault="00C940C4">
      <w:pPr>
        <w:tabs>
          <w:tab w:val="left" w:pos="36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3621326" cy="28336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326" cy="283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28DB" w:rsidRPr="00CE6029" w:rsidRDefault="00C940C4">
      <w:pPr>
        <w:tabs>
          <w:tab w:val="left" w:pos="360"/>
        </w:tabs>
        <w:jc w:val="center"/>
        <w:rPr>
          <w:rFonts w:ascii="Arial" w:eastAsia="Arial" w:hAnsi="Arial" w:cs="Arial"/>
          <w:sz w:val="18"/>
          <w:szCs w:val="18"/>
        </w:rPr>
      </w:pPr>
      <w:r w:rsidRPr="00CE6029">
        <w:rPr>
          <w:rFonts w:ascii="Arial" w:eastAsia="Arial" w:hAnsi="Arial" w:cs="Arial"/>
          <w:b/>
          <w:sz w:val="18"/>
          <w:szCs w:val="18"/>
        </w:rPr>
        <w:t xml:space="preserve">Fig. 1 - </w:t>
      </w:r>
      <w:r w:rsidRPr="00CE6029">
        <w:rPr>
          <w:rFonts w:ascii="Arial" w:eastAsia="Arial" w:hAnsi="Arial" w:cs="Arial"/>
          <w:sz w:val="18"/>
          <w:szCs w:val="18"/>
        </w:rPr>
        <w:t xml:space="preserve">Magnetoresistance vs. </w:t>
      </w:r>
      <w:r w:rsidRPr="00CE6029">
        <w:rPr>
          <w:rFonts w:ascii="Arial" w:eastAsia="Arial" w:hAnsi="Arial" w:cs="Arial"/>
          <w:i/>
          <w:sz w:val="18"/>
          <w:szCs w:val="18"/>
        </w:rPr>
        <w:t>H</w:t>
      </w:r>
      <w:r w:rsidRPr="00CE6029">
        <w:rPr>
          <w:rFonts w:ascii="Arial" w:eastAsia="Arial" w:hAnsi="Arial" w:cs="Arial"/>
          <w:sz w:val="18"/>
          <w:szCs w:val="18"/>
        </w:rPr>
        <w:t xml:space="preserve"> for multiple angles </w:t>
      </w:r>
      <w:r w:rsidRPr="00CE6029">
        <w:rPr>
          <w:rFonts w:ascii="Arial" w:eastAsia="Arial" w:hAnsi="Arial" w:cs="Arial"/>
          <w:i/>
          <w:sz w:val="18"/>
          <w:szCs w:val="18"/>
        </w:rPr>
        <w:t>θ</w:t>
      </w:r>
    </w:p>
    <w:p w:rsidR="005E28DB" w:rsidRDefault="005E28DB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Results and Discussion</w:t>
      </w:r>
    </w:p>
    <w:p w:rsidR="005E28DB" w:rsidRDefault="00C940C4">
      <w:pPr>
        <w:tabs>
          <w:tab w:val="left" w:pos="360"/>
        </w:tabs>
        <w:ind w:firstLine="36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From the pulsed field measurements, we can observe the relationship bet</w:t>
      </w:r>
      <w:r>
        <w:rPr>
          <w:rFonts w:ascii="Arial" w:eastAsia="Arial" w:hAnsi="Arial" w:cs="Arial"/>
          <w:sz w:val="20"/>
          <w:szCs w:val="20"/>
        </w:rPr>
        <w:t xml:space="preserve">ween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  <w:vertAlign w:val="subscript"/>
        </w:rPr>
        <w:t>HO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sz w:val="20"/>
          <w:szCs w:val="20"/>
        </w:rPr>
        <w:t>θ</w:t>
      </w:r>
      <w:r>
        <w:rPr>
          <w:rFonts w:ascii="Arial" w:eastAsia="Arial" w:hAnsi="Arial" w:cs="Arial"/>
          <w:sz w:val="20"/>
          <w:szCs w:val="20"/>
        </w:rPr>
        <w:t xml:space="preserve"> to help characterize the anisotropic HO. Figure 1 is a representative plot of magnetoresistance vs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at various </w:t>
      </w:r>
      <w:r>
        <w:rPr>
          <w:rFonts w:ascii="Arial" w:eastAsia="Arial" w:hAnsi="Arial" w:cs="Arial"/>
          <w:i/>
          <w:sz w:val="20"/>
          <w:szCs w:val="20"/>
        </w:rPr>
        <w:t>θ</w:t>
      </w:r>
      <w:r>
        <w:rPr>
          <w:rFonts w:ascii="Arial" w:eastAsia="Arial" w:hAnsi="Arial" w:cs="Arial"/>
          <w:sz w:val="20"/>
          <w:szCs w:val="20"/>
        </w:rPr>
        <w:t xml:space="preserve"> which demonstrates how the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vs.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phase diagram varies with angle for URu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and related compounds. </w:t>
      </w:r>
    </w:p>
    <w:p w:rsidR="00CE6029" w:rsidRDefault="00CE6029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sz w:val="20"/>
          <w:szCs w:val="20"/>
        </w:rPr>
        <w:t>Acknowledgements</w:t>
      </w: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Resear</w:t>
      </w:r>
      <w:r>
        <w:rPr>
          <w:rFonts w:ascii="Arial" w:eastAsia="Arial" w:hAnsi="Arial" w:cs="Arial"/>
          <w:sz w:val="20"/>
          <w:szCs w:val="20"/>
        </w:rPr>
        <w:t>ch at UCSD was supported by the NNSA through the U.S. DOE under Grant No. DE-NA0002909, by the DOE under Grant No. DEFG02-04-ER46105, and by the NSF under Grant No. DMR 1206553. A portion of this work was performed at the National High Magnetic Field Labor</w:t>
      </w:r>
      <w:r>
        <w:rPr>
          <w:rFonts w:ascii="Arial" w:eastAsia="Arial" w:hAnsi="Arial" w:cs="Arial"/>
          <w:sz w:val="20"/>
          <w:szCs w:val="20"/>
        </w:rPr>
        <w:t>atory, which is supported by National Science Foundation Cooperative Agreement No. DMR-1157490 and the State of Florida.</w:t>
      </w:r>
    </w:p>
    <w:p w:rsidR="005E28DB" w:rsidRDefault="005E28DB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E28DB" w:rsidRDefault="00C940C4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References</w:t>
      </w:r>
    </w:p>
    <w:p w:rsidR="005E28DB" w:rsidRDefault="00C940C4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[1] Ran, S., </w:t>
      </w:r>
      <w:r>
        <w:rPr>
          <w:rFonts w:ascii="Arial" w:eastAsia="Arial" w:hAnsi="Arial" w:cs="Arial"/>
          <w:i/>
          <w:sz w:val="20"/>
          <w:szCs w:val="20"/>
        </w:rPr>
        <w:t>et al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appear in </w:t>
      </w:r>
      <w:r>
        <w:rPr>
          <w:rFonts w:ascii="Arial" w:eastAsia="Arial" w:hAnsi="Arial" w:cs="Arial"/>
          <w:i/>
          <w:sz w:val="20"/>
          <w:szCs w:val="20"/>
        </w:rPr>
        <w:t>Proceedings of the National Academy of Sciences</w:t>
      </w:r>
      <w:r>
        <w:rPr>
          <w:rFonts w:ascii="Arial" w:eastAsia="Arial" w:hAnsi="Arial" w:cs="Arial"/>
          <w:sz w:val="20"/>
          <w:szCs w:val="20"/>
        </w:rPr>
        <w:t xml:space="preserve"> (2017).</w:t>
      </w:r>
    </w:p>
    <w:sectPr w:rsidR="005E28DB">
      <w:headerReference w:type="default" r:id="rId8"/>
      <w:pgSz w:w="12240" w:h="15840"/>
      <w:pgMar w:top="1155" w:right="1080" w:bottom="108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C4" w:rsidRDefault="00C940C4">
      <w:r>
        <w:separator/>
      </w:r>
    </w:p>
  </w:endnote>
  <w:endnote w:type="continuationSeparator" w:id="0">
    <w:p w:rsidR="00C940C4" w:rsidRDefault="00C9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C4" w:rsidRDefault="00C940C4">
      <w:r>
        <w:separator/>
      </w:r>
    </w:p>
  </w:footnote>
  <w:footnote w:type="continuationSeparator" w:id="0">
    <w:p w:rsidR="00C940C4" w:rsidRDefault="00C9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DB" w:rsidRDefault="00CE6029">
    <w:pPr>
      <w:spacing w:before="180"/>
      <w:rPr>
        <w:rFonts w:ascii="Arial" w:eastAsia="Arial" w:hAnsi="Arial" w:cs="Arial"/>
        <w:b/>
        <w:smallCaps/>
        <w:color w:val="1F497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D459DF" wp14:editId="47887223">
              <wp:simplePos x="0" y="0"/>
              <wp:positionH relativeFrom="margin">
                <wp:posOffset>1184275</wp:posOffset>
              </wp:positionH>
              <wp:positionV relativeFrom="paragraph">
                <wp:posOffset>41275</wp:posOffset>
              </wp:positionV>
              <wp:extent cx="3876675" cy="51943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67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6029" w:rsidRPr="00091A2B" w:rsidRDefault="00CE6029" w:rsidP="00CE602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CE6029" w:rsidRPr="00091A2B" w:rsidRDefault="00CE6029" w:rsidP="00CE602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:rsidR="005E28DB" w:rsidRDefault="005E28DB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93.25pt;margin-top:3.25pt;width:305.2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" stroked="f">
              <v:textbox inset="2.53958mm,2.53958mm,2.53958mm,2.53958mm">
                <w:txbxContent>
                  <w:p w:rsidR="00CE6029" w:rsidRPr="00091A2B" w:rsidRDefault="00CE6029" w:rsidP="00CE6029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CE6029" w:rsidRPr="00091A2B" w:rsidRDefault="00CE6029" w:rsidP="00CE6029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:rsidR="005E28DB" w:rsidRDefault="005E28D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940C4">
      <w:rPr>
        <w:rFonts w:ascii="Arial" w:eastAsia="Arial" w:hAnsi="Arial" w:cs="Arial"/>
        <w:b/>
        <w:smallCaps/>
        <w:noProof/>
        <w:color w:val="1F497D"/>
        <w:sz w:val="22"/>
        <w:szCs w:val="22"/>
      </w:rPr>
      <w:drawing>
        <wp:inline distT="0" distB="0" distL="114300" distR="114300" wp14:anchorId="06F4C055" wp14:editId="768336A5">
          <wp:extent cx="520700" cy="628015"/>
          <wp:effectExtent l="0" t="0" r="0" b="0"/>
          <wp:docPr id="2" name="image4.jpg" descr="JustM_purp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JustM_purp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8DB"/>
    <w:rsid w:val="005E28DB"/>
    <w:rsid w:val="00C940C4"/>
    <w:rsid w:val="00C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80"/>
      <w:jc w:val="center"/>
      <w:outlineLvl w:val="0"/>
    </w:pPr>
    <w:rPr>
      <w:smallCaps/>
      <w:sz w:val="20"/>
      <w:szCs w:val="20"/>
    </w:rPr>
  </w:style>
  <w:style w:type="paragraph" w:styleId="Heading2">
    <w:name w:val="heading 2"/>
    <w:basedOn w:val="Normal"/>
    <w:next w:val="Normal"/>
    <w:pPr>
      <w:keepNext/>
      <w:spacing w:before="120" w:after="60"/>
      <w:ind w:left="144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pPr>
      <w:keepNext/>
      <w:ind w:left="288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29"/>
  </w:style>
  <w:style w:type="paragraph" w:styleId="Footer">
    <w:name w:val="footer"/>
    <w:basedOn w:val="Normal"/>
    <w:link w:val="FooterChar"/>
    <w:uiPriority w:val="99"/>
    <w:unhideWhenUsed/>
    <w:rsid w:val="00CE6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80"/>
      <w:jc w:val="center"/>
      <w:outlineLvl w:val="0"/>
    </w:pPr>
    <w:rPr>
      <w:smallCaps/>
      <w:sz w:val="20"/>
      <w:szCs w:val="20"/>
    </w:rPr>
  </w:style>
  <w:style w:type="paragraph" w:styleId="Heading2">
    <w:name w:val="heading 2"/>
    <w:basedOn w:val="Normal"/>
    <w:next w:val="Normal"/>
    <w:pPr>
      <w:keepNext/>
      <w:spacing w:before="120" w:after="60"/>
      <w:ind w:left="144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pPr>
      <w:keepNext/>
      <w:ind w:left="288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29"/>
  </w:style>
  <w:style w:type="paragraph" w:styleId="Footer">
    <w:name w:val="footer"/>
    <w:basedOn w:val="Normal"/>
    <w:link w:val="FooterChar"/>
    <w:uiPriority w:val="99"/>
    <w:unhideWhenUsed/>
    <w:rsid w:val="00CE6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Anke Toth</cp:lastModifiedBy>
  <cp:revision>2</cp:revision>
  <dcterms:created xsi:type="dcterms:W3CDTF">2018-04-04T19:53:00Z</dcterms:created>
  <dcterms:modified xsi:type="dcterms:W3CDTF">2018-04-04T20:03:00Z</dcterms:modified>
</cp:coreProperties>
</file>