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D147" w14:textId="63DCF414" w:rsidR="00C75A17" w:rsidRPr="00D65CBB" w:rsidRDefault="00661004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8478E5">
        <w:rPr>
          <w:rFonts w:ascii="Arial" w:hAnsi="Arial" w:cs="Arial"/>
          <w:b/>
        </w:rPr>
        <w:t xml:space="preserve">32 T </w:t>
      </w:r>
      <w:r w:rsidR="0051081C">
        <w:rPr>
          <w:rFonts w:ascii="Arial" w:hAnsi="Arial" w:cs="Arial"/>
          <w:b/>
        </w:rPr>
        <w:t>Superconducting M</w:t>
      </w:r>
      <w:r>
        <w:rPr>
          <w:rFonts w:ascii="Arial" w:hAnsi="Arial" w:cs="Arial"/>
          <w:b/>
        </w:rPr>
        <w:t xml:space="preserve">agnet </w:t>
      </w:r>
      <w:r w:rsidR="0051081C">
        <w:rPr>
          <w:rFonts w:ascii="Arial" w:hAnsi="Arial" w:cs="Arial"/>
          <w:b/>
        </w:rPr>
        <w:t>Achieves Full Field</w:t>
      </w:r>
    </w:p>
    <w:p w14:paraId="680873C5" w14:textId="77777777" w:rsidR="00DF5C97" w:rsidRPr="00DF5C97" w:rsidRDefault="00DF5C97" w:rsidP="00F67F76">
      <w:pPr>
        <w:tabs>
          <w:tab w:val="left" w:pos="360"/>
        </w:tabs>
        <w:rPr>
          <w:rFonts w:ascii="Arial" w:hAnsi="Arial" w:cs="Arial"/>
          <w:sz w:val="10"/>
          <w:szCs w:val="20"/>
          <w:u w:val="single"/>
        </w:rPr>
      </w:pPr>
    </w:p>
    <w:p w14:paraId="0199369B" w14:textId="12926488" w:rsidR="00A94FC4" w:rsidRDefault="00A625FA" w:rsidP="00A625F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Weijers, H.W</w:t>
      </w:r>
      <w:r w:rsidR="00FB4399">
        <w:rPr>
          <w:rFonts w:ascii="Arial" w:hAnsi="Arial" w:cs="Arial"/>
          <w:sz w:val="20"/>
          <w:szCs w:val="20"/>
          <w:u w:val="single"/>
        </w:rPr>
        <w:t>.</w:t>
      </w:r>
      <w:r w:rsidR="001552A9" w:rsidRPr="001552A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Markiewicz, W.D., Gavrilin, A.V., Voran, A.J., Viouchkov, Y.L., Gundlach, S.R., Noyes, </w:t>
      </w:r>
      <w:r w:rsidR="00463AF4">
        <w:rPr>
          <w:rFonts w:ascii="Arial" w:hAnsi="Arial" w:cs="Arial"/>
          <w:sz w:val="20"/>
          <w:szCs w:val="20"/>
        </w:rPr>
        <w:t>P.D.</w:t>
      </w:r>
      <w:r w:rsidR="00463AF4">
        <w:rPr>
          <w:rFonts w:ascii="Arial" w:hAnsi="Arial" w:cs="Arial"/>
          <w:sz w:val="20"/>
          <w:szCs w:val="20"/>
        </w:rPr>
        <w:t xml:space="preserve">, </w:t>
      </w:r>
      <w:r w:rsidR="00661004">
        <w:rPr>
          <w:rFonts w:ascii="Arial" w:hAnsi="Arial" w:cs="Arial"/>
          <w:sz w:val="20"/>
          <w:szCs w:val="20"/>
        </w:rPr>
        <w:t xml:space="preserve">Painter, T.A., </w:t>
      </w:r>
      <w:r w:rsidR="00463AF4">
        <w:rPr>
          <w:rFonts w:ascii="Arial" w:hAnsi="Arial" w:cs="Arial"/>
          <w:sz w:val="20"/>
          <w:szCs w:val="20"/>
        </w:rPr>
        <w:t>Lu, J</w:t>
      </w:r>
      <w:r w:rsidR="006610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="00661004">
        <w:rPr>
          <w:rFonts w:ascii="Arial" w:hAnsi="Arial" w:cs="Arial"/>
          <w:sz w:val="20"/>
          <w:szCs w:val="20"/>
        </w:rPr>
        <w:t xml:space="preserve">Abraimov, D.V., </w:t>
      </w:r>
      <w:r>
        <w:rPr>
          <w:rFonts w:ascii="Arial" w:hAnsi="Arial" w:cs="Arial"/>
          <w:sz w:val="20"/>
          <w:szCs w:val="20"/>
        </w:rPr>
        <w:t>Hannahs, S.T., Murphy, T.P.</w:t>
      </w:r>
      <w:r w:rsidR="00661004">
        <w:rPr>
          <w:rFonts w:ascii="Arial" w:hAnsi="Arial" w:cs="Arial"/>
          <w:sz w:val="20"/>
          <w:szCs w:val="20"/>
        </w:rPr>
        <w:t>, Stiers, E., Reyes, A.P.</w:t>
      </w:r>
      <w:r w:rsidR="00F67F76" w:rsidRPr="006B3824">
        <w:rPr>
          <w:rFonts w:ascii="Arial" w:hAnsi="Arial" w:cs="Arial"/>
          <w:sz w:val="20"/>
          <w:szCs w:val="20"/>
        </w:rPr>
        <w:t xml:space="preserve"> (</w:t>
      </w:r>
      <w:r w:rsidR="00F67F76">
        <w:rPr>
          <w:rFonts w:ascii="Arial" w:hAnsi="Arial" w:cs="Arial"/>
          <w:sz w:val="20"/>
          <w:szCs w:val="20"/>
        </w:rPr>
        <w:t>NHMFL)</w:t>
      </w:r>
    </w:p>
    <w:p w14:paraId="25EB8804" w14:textId="77777777" w:rsidR="0051081C" w:rsidRPr="006B3824" w:rsidRDefault="0051081C" w:rsidP="0051081C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6A723DA" w14:textId="77777777" w:rsidR="0051081C" w:rsidRPr="006B3824" w:rsidRDefault="0051081C" w:rsidP="00A625F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34D7E2D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7EEE6A79" w14:textId="688B0683" w:rsidR="002524EE" w:rsidRPr="006B3824" w:rsidRDefault="006B3824" w:rsidP="008528B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A625FA" w:rsidRPr="00A625FA">
        <w:rPr>
          <w:rFonts w:ascii="Arial" w:hAnsi="Arial" w:cs="Arial"/>
          <w:sz w:val="20"/>
          <w:szCs w:val="20"/>
        </w:rPr>
        <w:t xml:space="preserve">The 32 T superconducting magnet </w:t>
      </w:r>
      <w:r w:rsidR="009B64DB">
        <w:rPr>
          <w:rFonts w:ascii="Arial" w:hAnsi="Arial" w:cs="Arial"/>
          <w:sz w:val="20"/>
          <w:szCs w:val="20"/>
        </w:rPr>
        <w:t>is</w:t>
      </w:r>
      <w:r w:rsidR="00C91FC5">
        <w:rPr>
          <w:rFonts w:ascii="Arial" w:hAnsi="Arial" w:cs="Arial"/>
          <w:sz w:val="20"/>
          <w:szCs w:val="20"/>
        </w:rPr>
        <w:t xml:space="preserve"> a science instrument intended to give researchers</w:t>
      </w:r>
      <w:r w:rsidR="009B64DB">
        <w:rPr>
          <w:rFonts w:ascii="Arial" w:hAnsi="Arial" w:cs="Arial"/>
          <w:sz w:val="20"/>
          <w:szCs w:val="20"/>
        </w:rPr>
        <w:t xml:space="preserve"> </w:t>
      </w:r>
      <w:r w:rsidR="00C91FC5">
        <w:rPr>
          <w:rFonts w:ascii="Arial" w:hAnsi="Arial" w:cs="Arial"/>
          <w:sz w:val="20"/>
          <w:szCs w:val="20"/>
        </w:rPr>
        <w:t>access to the realm of temperatures near absolute zero and high magnetic fields where quantum mechanics dominate.</w:t>
      </w:r>
      <w:r w:rsidR="004619C1">
        <w:rPr>
          <w:rFonts w:ascii="Arial" w:hAnsi="Arial" w:cs="Arial"/>
          <w:sz w:val="20"/>
          <w:szCs w:val="20"/>
        </w:rPr>
        <w:t xml:space="preserve"> </w:t>
      </w:r>
      <w:r w:rsidR="00C91FC5">
        <w:rPr>
          <w:rFonts w:ascii="Arial" w:hAnsi="Arial" w:cs="Arial"/>
          <w:sz w:val="20"/>
          <w:szCs w:val="20"/>
        </w:rPr>
        <w:t>The magnet</w:t>
      </w:r>
      <w:r w:rsidR="009B64DB">
        <w:rPr>
          <w:rFonts w:ascii="Arial" w:hAnsi="Arial" w:cs="Arial"/>
          <w:sz w:val="20"/>
          <w:szCs w:val="20"/>
        </w:rPr>
        <w:t xml:space="preserve"> </w:t>
      </w:r>
      <w:r w:rsidR="00661004">
        <w:rPr>
          <w:rFonts w:ascii="Arial" w:hAnsi="Arial" w:cs="Arial"/>
          <w:sz w:val="20"/>
          <w:szCs w:val="20"/>
        </w:rPr>
        <w:t>consists of</w:t>
      </w:r>
      <w:r w:rsidR="00A625FA" w:rsidRPr="00A625FA">
        <w:rPr>
          <w:rFonts w:ascii="Arial" w:hAnsi="Arial" w:cs="Arial"/>
          <w:sz w:val="20"/>
          <w:szCs w:val="20"/>
        </w:rPr>
        <w:t xml:space="preserve"> a 15 T Low Temperature Superconductor (LTS) magnet combined with a </w:t>
      </w:r>
      <w:r w:rsidR="00096209">
        <w:rPr>
          <w:rFonts w:ascii="Arial" w:hAnsi="Arial" w:cs="Arial"/>
          <w:sz w:val="20"/>
          <w:szCs w:val="20"/>
        </w:rPr>
        <w:t xml:space="preserve">pair of </w:t>
      </w:r>
      <w:r w:rsidR="00A625FA" w:rsidRPr="00A625FA">
        <w:rPr>
          <w:rFonts w:ascii="Arial" w:hAnsi="Arial" w:cs="Arial"/>
          <w:sz w:val="20"/>
          <w:szCs w:val="20"/>
        </w:rPr>
        <w:t xml:space="preserve">REBCO High Temperature Superconductor (HTS) insert </w:t>
      </w:r>
      <w:r w:rsidR="00096209">
        <w:rPr>
          <w:rFonts w:ascii="Arial" w:hAnsi="Arial" w:cs="Arial"/>
          <w:sz w:val="20"/>
          <w:szCs w:val="20"/>
        </w:rPr>
        <w:t xml:space="preserve">coils </w:t>
      </w:r>
      <w:r w:rsidR="00A625FA" w:rsidRPr="00A625FA">
        <w:rPr>
          <w:rFonts w:ascii="Arial" w:hAnsi="Arial" w:cs="Arial"/>
          <w:sz w:val="20"/>
          <w:szCs w:val="20"/>
        </w:rPr>
        <w:t>generating 17 T.</w:t>
      </w:r>
      <w:r w:rsidR="00A625FA">
        <w:rPr>
          <w:rFonts w:ascii="Arial" w:hAnsi="Arial" w:cs="Arial"/>
          <w:sz w:val="20"/>
          <w:szCs w:val="20"/>
        </w:rPr>
        <w:t xml:space="preserve"> </w:t>
      </w:r>
      <w:r w:rsidR="004619C1">
        <w:rPr>
          <w:rFonts w:ascii="Arial" w:hAnsi="Arial" w:cs="Arial"/>
          <w:sz w:val="20"/>
          <w:szCs w:val="20"/>
        </w:rPr>
        <w:t xml:space="preserve">There are separate power supplies for the LTS and HTS components. </w:t>
      </w:r>
    </w:p>
    <w:p w14:paraId="1B7793FA" w14:textId="77777777" w:rsidR="008E1999" w:rsidRPr="00DF5C97" w:rsidRDefault="008E1999" w:rsidP="0049187D">
      <w:pPr>
        <w:tabs>
          <w:tab w:val="left" w:pos="360"/>
        </w:tabs>
        <w:rPr>
          <w:rFonts w:ascii="Arial" w:hAnsi="Arial" w:cs="Arial"/>
          <w:b/>
          <w:sz w:val="10"/>
          <w:szCs w:val="20"/>
        </w:rPr>
      </w:pPr>
    </w:p>
    <w:p w14:paraId="5574A693" w14:textId="77777777" w:rsidR="002524EE" w:rsidRPr="006B3824" w:rsidRDefault="00C02601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Experiments</w:t>
      </w:r>
      <w:r w:rsidR="006152FA">
        <w:rPr>
          <w:rFonts w:ascii="Arial" w:hAnsi="Arial" w:cs="Arial"/>
          <w:b/>
          <w:sz w:val="20"/>
          <w:szCs w:val="20"/>
        </w:rPr>
        <w:t>, results, and discussion</w:t>
      </w:r>
    </w:p>
    <w:p w14:paraId="196188DC" w14:textId="1527606B" w:rsidR="00CE5C2E" w:rsidRDefault="00463AF4" w:rsidP="009B64D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46CB">
        <w:rPr>
          <w:rFonts w:ascii="Arial" w:hAnsi="Arial" w:cs="Arial"/>
          <w:sz w:val="20"/>
          <w:szCs w:val="20"/>
        </w:rPr>
        <w:t xml:space="preserve">After years of technology development and verification using </w:t>
      </w:r>
      <w:r w:rsidR="000821D3">
        <w:rPr>
          <w:rFonts w:ascii="Arial" w:hAnsi="Arial" w:cs="Arial"/>
          <w:sz w:val="20"/>
          <w:szCs w:val="20"/>
        </w:rPr>
        <w:t xml:space="preserve">calculations, </w:t>
      </w:r>
      <w:r w:rsidR="00E346CB">
        <w:rPr>
          <w:rFonts w:ascii="Arial" w:hAnsi="Arial" w:cs="Arial"/>
          <w:sz w:val="20"/>
          <w:szCs w:val="20"/>
        </w:rPr>
        <w:t>test coils and prototypes, the HTS coils were constructed</w:t>
      </w:r>
      <w:r w:rsidR="00B1357E">
        <w:rPr>
          <w:rFonts w:ascii="Arial" w:hAnsi="Arial" w:cs="Arial"/>
          <w:sz w:val="20"/>
          <w:szCs w:val="20"/>
        </w:rPr>
        <w:t>, integrated with the LTS magnet</w:t>
      </w:r>
      <w:r w:rsidR="00E346CB">
        <w:rPr>
          <w:rFonts w:ascii="Arial" w:hAnsi="Arial" w:cs="Arial"/>
          <w:sz w:val="20"/>
          <w:szCs w:val="20"/>
        </w:rPr>
        <w:t xml:space="preserve"> and the supporting electronic systems built. </w:t>
      </w:r>
      <w:r w:rsidR="00C91FC5">
        <w:rPr>
          <w:rFonts w:ascii="Arial" w:hAnsi="Arial" w:cs="Arial"/>
          <w:sz w:val="20"/>
          <w:szCs w:val="20"/>
        </w:rPr>
        <w:t xml:space="preserve">Quench protection is provided by active quench heaters [1]. </w:t>
      </w:r>
      <w:r w:rsidR="009A2849">
        <w:rPr>
          <w:rFonts w:ascii="Arial" w:hAnsi="Arial" w:cs="Arial"/>
          <w:sz w:val="20"/>
          <w:szCs w:val="20"/>
        </w:rPr>
        <w:t xml:space="preserve">The test plan for the magnet included </w:t>
      </w:r>
      <w:r w:rsidR="000821D3">
        <w:rPr>
          <w:rFonts w:ascii="Arial" w:hAnsi="Arial" w:cs="Arial"/>
          <w:sz w:val="20"/>
          <w:szCs w:val="20"/>
        </w:rPr>
        <w:t xml:space="preserve">a spectrum of </w:t>
      </w:r>
      <w:r w:rsidR="009A2849">
        <w:rPr>
          <w:rFonts w:ascii="Arial" w:hAnsi="Arial" w:cs="Arial"/>
          <w:sz w:val="20"/>
          <w:szCs w:val="20"/>
        </w:rPr>
        <w:t xml:space="preserve">operation </w:t>
      </w:r>
      <w:r w:rsidR="000821D3">
        <w:rPr>
          <w:rFonts w:ascii="Arial" w:hAnsi="Arial" w:cs="Arial"/>
          <w:sz w:val="20"/>
          <w:szCs w:val="20"/>
        </w:rPr>
        <w:t xml:space="preserve">parameters </w:t>
      </w:r>
      <w:r w:rsidR="009A2849">
        <w:rPr>
          <w:rFonts w:ascii="Arial" w:hAnsi="Arial" w:cs="Arial"/>
          <w:sz w:val="20"/>
          <w:szCs w:val="20"/>
        </w:rPr>
        <w:t xml:space="preserve">at </w:t>
      </w:r>
      <w:r w:rsidR="004619C1">
        <w:rPr>
          <w:rFonts w:ascii="Arial" w:hAnsi="Arial" w:cs="Arial"/>
          <w:sz w:val="20"/>
          <w:szCs w:val="20"/>
        </w:rPr>
        <w:t xml:space="preserve">a </w:t>
      </w:r>
      <w:r w:rsidR="009A2849">
        <w:rPr>
          <w:rFonts w:ascii="Arial" w:hAnsi="Arial" w:cs="Arial"/>
          <w:sz w:val="20"/>
          <w:szCs w:val="20"/>
        </w:rPr>
        <w:t xml:space="preserve">number of magnetic field values below 32 T and </w:t>
      </w:r>
      <w:r w:rsidR="000821D3">
        <w:rPr>
          <w:rFonts w:ascii="Arial" w:hAnsi="Arial" w:cs="Arial"/>
          <w:sz w:val="20"/>
          <w:szCs w:val="20"/>
        </w:rPr>
        <w:t xml:space="preserve">a number of </w:t>
      </w:r>
      <w:r w:rsidR="009A2849">
        <w:rPr>
          <w:rFonts w:ascii="Arial" w:hAnsi="Arial" w:cs="Arial"/>
          <w:sz w:val="20"/>
          <w:szCs w:val="20"/>
        </w:rPr>
        <w:t>deliberately induced quenches</w:t>
      </w:r>
      <w:r w:rsidR="00CE5C2E">
        <w:rPr>
          <w:rFonts w:ascii="Arial" w:hAnsi="Arial" w:cs="Arial"/>
          <w:sz w:val="20"/>
          <w:szCs w:val="20"/>
        </w:rPr>
        <w:t xml:space="preserve"> up to 28 T</w:t>
      </w:r>
      <w:r w:rsidR="009A2849">
        <w:rPr>
          <w:rFonts w:ascii="Arial" w:hAnsi="Arial" w:cs="Arial"/>
          <w:sz w:val="20"/>
          <w:szCs w:val="20"/>
        </w:rPr>
        <w:t xml:space="preserve">. Comparing the resulting data with simulations gave the confidence that the magnet would perform safely as designed at the full 32 </w:t>
      </w:r>
      <w:r w:rsidR="004619C1">
        <w:rPr>
          <w:rFonts w:ascii="Arial" w:hAnsi="Arial" w:cs="Arial"/>
          <w:sz w:val="20"/>
          <w:szCs w:val="20"/>
        </w:rPr>
        <w:t>t</w:t>
      </w:r>
      <w:r w:rsidR="009A2849">
        <w:rPr>
          <w:rFonts w:ascii="Arial" w:hAnsi="Arial" w:cs="Arial"/>
          <w:sz w:val="20"/>
          <w:szCs w:val="20"/>
        </w:rPr>
        <w:t>esla magnetic field, both in normal operation and in foreseeable fault conditions. Observation of voltage signals from the coils allowed us to tune the quench detection system</w:t>
      </w:r>
      <w:r w:rsidR="00CE5C2E">
        <w:rPr>
          <w:rFonts w:ascii="Arial" w:hAnsi="Arial" w:cs="Arial"/>
          <w:sz w:val="20"/>
          <w:szCs w:val="20"/>
        </w:rPr>
        <w:t xml:space="preserve"> such that transient effects do not cause a false detection</w:t>
      </w:r>
      <w:r w:rsidR="008D0CF5">
        <w:rPr>
          <w:rFonts w:ascii="Arial" w:hAnsi="Arial" w:cs="Arial"/>
          <w:sz w:val="20"/>
          <w:szCs w:val="20"/>
        </w:rPr>
        <w:t xml:space="preserve"> events</w:t>
      </w:r>
      <w:r w:rsidR="00CE5C2E">
        <w:rPr>
          <w:rFonts w:ascii="Arial" w:hAnsi="Arial" w:cs="Arial"/>
          <w:sz w:val="20"/>
          <w:szCs w:val="20"/>
        </w:rPr>
        <w:t xml:space="preserve"> while maintaining sufficient sensitivity to quickly detect real </w:t>
      </w:r>
      <w:r w:rsidR="008D0CF5">
        <w:rPr>
          <w:rFonts w:ascii="Arial" w:hAnsi="Arial" w:cs="Arial"/>
          <w:sz w:val="20"/>
          <w:szCs w:val="20"/>
        </w:rPr>
        <w:t xml:space="preserve">thermal runaway </w:t>
      </w:r>
      <w:r w:rsidR="00CE5C2E">
        <w:rPr>
          <w:rFonts w:ascii="Arial" w:hAnsi="Arial" w:cs="Arial"/>
          <w:sz w:val="20"/>
          <w:szCs w:val="20"/>
        </w:rPr>
        <w:t>conditions. The magnet was then operated to 32 T and kept at 32 T for over 1 hour to conform that the entire sy</w:t>
      </w:r>
      <w:r w:rsidR="008D0CF5">
        <w:rPr>
          <w:rFonts w:ascii="Arial" w:hAnsi="Arial" w:cs="Arial"/>
          <w:sz w:val="20"/>
          <w:szCs w:val="20"/>
        </w:rPr>
        <w:t>stem was</w:t>
      </w:r>
      <w:r w:rsidR="00CE5C2E">
        <w:rPr>
          <w:rFonts w:ascii="Arial" w:hAnsi="Arial" w:cs="Arial"/>
          <w:sz w:val="20"/>
          <w:szCs w:val="20"/>
        </w:rPr>
        <w:t xml:space="preserve"> stable. The magnet can be ramped betwee</w:t>
      </w:r>
      <w:r w:rsidR="00E96AC8">
        <w:rPr>
          <w:rFonts w:ascii="Arial" w:hAnsi="Arial" w:cs="Arial"/>
          <w:sz w:val="20"/>
          <w:szCs w:val="20"/>
        </w:rPr>
        <w:t>n -32 T and + 32 T at 0.5 T/min</w:t>
      </w:r>
      <w:r w:rsidR="00CE5C2E">
        <w:rPr>
          <w:rFonts w:ascii="Arial" w:hAnsi="Arial" w:cs="Arial"/>
          <w:sz w:val="20"/>
          <w:szCs w:val="20"/>
        </w:rPr>
        <w:t xml:space="preserve"> which is relatively quick for a high field superconducting magnet. Uniformity of the magnetic field is illustrated in figure </w:t>
      </w:r>
      <w:r w:rsidR="0097134D">
        <w:rPr>
          <w:rFonts w:ascii="Arial" w:hAnsi="Arial" w:cs="Arial"/>
          <w:sz w:val="20"/>
          <w:szCs w:val="20"/>
        </w:rPr>
        <w:t>2</w:t>
      </w:r>
      <w:r w:rsidR="00CE5C2E">
        <w:rPr>
          <w:rFonts w:ascii="Arial" w:hAnsi="Arial" w:cs="Arial"/>
          <w:sz w:val="20"/>
          <w:szCs w:val="20"/>
        </w:rPr>
        <w:t xml:space="preserve"> and is significantly better than the 500 ppm specification</w:t>
      </w:r>
      <w:r w:rsidR="00E346CB">
        <w:rPr>
          <w:rFonts w:ascii="Arial" w:hAnsi="Arial" w:cs="Arial"/>
          <w:sz w:val="20"/>
          <w:szCs w:val="20"/>
        </w:rPr>
        <w:t>. At 34 mm, the 4.2 K cold bore is slightly larger than the initial target of 32 mm. The field-current relation was mapped both wit</w:t>
      </w:r>
      <w:r w:rsidR="0097134D">
        <w:rPr>
          <w:rFonts w:ascii="Arial" w:hAnsi="Arial" w:cs="Arial"/>
          <w:sz w:val="20"/>
          <w:szCs w:val="20"/>
        </w:rPr>
        <w:t xml:space="preserve">h a hall-effect sensor and NMR </w:t>
      </w:r>
      <w:r w:rsidR="00E346CB">
        <w:rPr>
          <w:rFonts w:ascii="Arial" w:hAnsi="Arial" w:cs="Arial"/>
          <w:sz w:val="20"/>
          <w:szCs w:val="20"/>
        </w:rPr>
        <w:t>s</w:t>
      </w:r>
      <w:r w:rsidR="0097134D">
        <w:rPr>
          <w:rFonts w:ascii="Arial" w:hAnsi="Arial" w:cs="Arial"/>
          <w:sz w:val="20"/>
          <w:szCs w:val="20"/>
        </w:rPr>
        <w:t>p</w:t>
      </w:r>
      <w:r w:rsidR="00E346CB">
        <w:rPr>
          <w:rFonts w:ascii="Arial" w:hAnsi="Arial" w:cs="Arial"/>
          <w:sz w:val="20"/>
          <w:szCs w:val="20"/>
        </w:rPr>
        <w:t xml:space="preserve">ectroscopy on </w:t>
      </w:r>
      <w:r w:rsidR="004619C1">
        <w:rPr>
          <w:rFonts w:ascii="Arial" w:hAnsi="Arial" w:cs="Arial"/>
          <w:sz w:val="20"/>
          <w:szCs w:val="20"/>
        </w:rPr>
        <w:t xml:space="preserve">a </w:t>
      </w:r>
      <w:r w:rsidR="00E346CB">
        <w:rPr>
          <w:rFonts w:ascii="Arial" w:hAnsi="Arial" w:cs="Arial"/>
          <w:sz w:val="20"/>
          <w:szCs w:val="20"/>
        </w:rPr>
        <w:t>copper sample</w:t>
      </w:r>
      <w:r w:rsidR="0097134D">
        <w:rPr>
          <w:rFonts w:ascii="Arial" w:hAnsi="Arial" w:cs="Arial"/>
          <w:sz w:val="20"/>
          <w:szCs w:val="20"/>
        </w:rPr>
        <w:t xml:space="preserve"> (see Fig 1.)</w:t>
      </w:r>
      <w:r w:rsidR="00E346CB">
        <w:rPr>
          <w:rFonts w:ascii="Arial" w:hAnsi="Arial" w:cs="Arial"/>
          <w:sz w:val="20"/>
          <w:szCs w:val="20"/>
        </w:rPr>
        <w:t xml:space="preserve">. A slight hysteresis is observed and a peak field of 32.103 T was confirmed. Thus all specifications </w:t>
      </w:r>
      <w:r w:rsidR="00BB3D5D">
        <w:rPr>
          <w:rFonts w:ascii="Arial" w:hAnsi="Arial" w:cs="Arial"/>
          <w:sz w:val="20"/>
          <w:szCs w:val="20"/>
        </w:rPr>
        <w:t xml:space="preserve">and expectations have been </w:t>
      </w:r>
      <w:r w:rsidR="00E346CB">
        <w:rPr>
          <w:rFonts w:ascii="Arial" w:hAnsi="Arial" w:cs="Arial"/>
          <w:sz w:val="20"/>
          <w:szCs w:val="20"/>
        </w:rPr>
        <w:t>met</w:t>
      </w:r>
      <w:r w:rsidR="00BB3D5D">
        <w:rPr>
          <w:rFonts w:ascii="Arial" w:hAnsi="Arial" w:cs="Arial"/>
          <w:sz w:val="20"/>
          <w:szCs w:val="20"/>
        </w:rPr>
        <w:t xml:space="preserve"> or exceeded</w:t>
      </w:r>
      <w:r w:rsidR="00E346CB">
        <w:rPr>
          <w:rFonts w:ascii="Arial" w:hAnsi="Arial" w:cs="Arial"/>
          <w:sz w:val="20"/>
          <w:szCs w:val="20"/>
        </w:rPr>
        <w:t xml:space="preserve">. </w:t>
      </w:r>
    </w:p>
    <w:p w14:paraId="21D8D0F4" w14:textId="4312E1C9" w:rsidR="004168A4" w:rsidRDefault="008A3266" w:rsidP="009B64D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182B">
        <w:rPr>
          <w:rFonts w:ascii="Arial" w:hAnsi="Arial" w:cs="Arial"/>
          <w:sz w:val="20"/>
          <w:szCs w:val="20"/>
        </w:rPr>
        <w:t>Completion of this magnet represents a breakthrough in magnet technology, capitali</w:t>
      </w:r>
      <w:r w:rsidR="004619C1">
        <w:rPr>
          <w:rFonts w:ascii="Arial" w:hAnsi="Arial" w:cs="Arial"/>
          <w:sz w:val="20"/>
          <w:szCs w:val="20"/>
        </w:rPr>
        <w:t>z</w:t>
      </w:r>
      <w:r w:rsidR="0097182B">
        <w:rPr>
          <w:rFonts w:ascii="Arial" w:hAnsi="Arial" w:cs="Arial"/>
          <w:sz w:val="20"/>
          <w:szCs w:val="20"/>
        </w:rPr>
        <w:t>ing on the performance of high temperature superconductors at low temperatures and high</w:t>
      </w:r>
      <w:r w:rsidR="004619C1">
        <w:rPr>
          <w:rFonts w:ascii="Arial" w:hAnsi="Arial" w:cs="Arial"/>
          <w:sz w:val="20"/>
          <w:szCs w:val="20"/>
        </w:rPr>
        <w:t xml:space="preserve"> </w:t>
      </w:r>
      <w:r w:rsidR="0097182B">
        <w:rPr>
          <w:rFonts w:ascii="Arial" w:hAnsi="Arial" w:cs="Arial"/>
          <w:sz w:val="20"/>
          <w:szCs w:val="20"/>
        </w:rPr>
        <w:t>magnetic field.</w:t>
      </w:r>
      <w:r>
        <w:rPr>
          <w:rFonts w:ascii="Arial" w:hAnsi="Arial" w:cs="Arial"/>
          <w:sz w:val="20"/>
          <w:szCs w:val="20"/>
        </w:rPr>
        <w:t xml:space="preserve"> Previous LTS</w:t>
      </w:r>
      <w:r w:rsidR="0097182B">
        <w:rPr>
          <w:rFonts w:ascii="Arial" w:hAnsi="Arial" w:cs="Arial"/>
          <w:sz w:val="20"/>
          <w:szCs w:val="20"/>
        </w:rPr>
        <w:t xml:space="preserve"> superconducting magnets used for science are limited to 24 tesla, and progress in peak magnetic field on average has been around 0.2 T/year for decades; an 8 tesla increase </w:t>
      </w:r>
      <w:r>
        <w:rPr>
          <w:rFonts w:ascii="Arial" w:hAnsi="Arial" w:cs="Arial"/>
          <w:sz w:val="20"/>
          <w:szCs w:val="20"/>
        </w:rPr>
        <w:t xml:space="preserve">in such a short period </w:t>
      </w:r>
      <w:r w:rsidR="0097182B">
        <w:rPr>
          <w:rFonts w:ascii="Arial" w:hAnsi="Arial" w:cs="Arial"/>
          <w:sz w:val="20"/>
          <w:szCs w:val="20"/>
        </w:rPr>
        <w:t>is unprecedented.</w:t>
      </w:r>
      <w:r w:rsidR="004168A4">
        <w:rPr>
          <w:rFonts w:ascii="Arial" w:hAnsi="Arial" w:cs="Arial"/>
          <w:sz w:val="20"/>
          <w:szCs w:val="20"/>
        </w:rPr>
        <w:t xml:space="preserve"> </w:t>
      </w:r>
    </w:p>
    <w:p w14:paraId="3FF270CC" w14:textId="4CF83339" w:rsidR="00B079AE" w:rsidRDefault="0097182B" w:rsidP="009718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variable-temperature insert is available and a dilution refrigerator is on order to allow science </w:t>
      </w:r>
      <w:r w:rsidR="00C91FC5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a low-noise environment at a range of temperatures down to the milliKelvin range in a stable high magnetic field up to 32 T.</w:t>
      </w:r>
    </w:p>
    <w:p w14:paraId="0D446BC0" w14:textId="02E2519D" w:rsidR="00E25473" w:rsidRPr="00DF5C97" w:rsidRDefault="00BB0725" w:rsidP="0049187D">
      <w:pPr>
        <w:tabs>
          <w:tab w:val="left" w:pos="360"/>
        </w:tabs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10"/>
          <w:szCs w:val="20"/>
          <w:lang w:eastAsia="en-US"/>
        </w:rPr>
        <w:drawing>
          <wp:inline distT="0" distB="0" distL="0" distR="0" wp14:anchorId="5E7D3586" wp14:editId="32FF9B4F">
            <wp:extent cx="2986055" cy="2055722"/>
            <wp:effectExtent l="0" t="0" r="11430" b="190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57" cy="20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C8">
        <w:rPr>
          <w:rFonts w:ascii="Arial" w:hAnsi="Arial" w:cs="Arial"/>
          <w:noProof/>
          <w:sz w:val="10"/>
          <w:szCs w:val="20"/>
          <w:lang w:eastAsia="en-US"/>
        </w:rPr>
        <w:drawing>
          <wp:inline distT="0" distB="0" distL="0" distR="0" wp14:anchorId="3F61B7EC" wp14:editId="3AB1AAF4">
            <wp:extent cx="2717800" cy="2013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map_crop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21" cy="201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AEBAF" w14:textId="085EEA90" w:rsidR="00E25473" w:rsidRDefault="00BB072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C145" wp14:editId="18C3EBAF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350000" cy="172720"/>
                <wp:effectExtent l="0" t="0" r="0" b="5080"/>
                <wp:wrapTight wrapText="bothSides">
                  <wp:wrapPolygon edited="0">
                    <wp:start x="0" y="0"/>
                    <wp:lineTo x="0" y="19059"/>
                    <wp:lineTo x="21514" y="19059"/>
                    <wp:lineTo x="2151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91BE2" w14:textId="462EA175" w:rsidR="00CE3507" w:rsidRPr="00B079AE" w:rsidRDefault="00CE35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63AF4">
                              <w:rPr>
                                <w:rFonts w:ascii="Arial" w:hAnsi="Arial"/>
                                <w:b/>
                                <w:sz w:val="18"/>
                                <w:szCs w:val="20"/>
                              </w:rPr>
                              <w:t>Fig. 1.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 Field measured with NMR vs.</w:t>
                            </w:r>
                            <w:r w:rsidRPr="00BB0725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 nominal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magneti</w:t>
                            </w:r>
                            <w:r w:rsidRPr="00B079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 field.     Fig. 2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Homogeneity of the magnetic field near field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6pt;width:500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" filled="f" stroked="f">
                <v:textbox inset="0,0,0,0">
                  <w:txbxContent>
                    <w:p w14:paraId="7EA91BE2" w14:textId="462EA175" w:rsidR="00CE3507" w:rsidRPr="00B079AE" w:rsidRDefault="00CE35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63AF4">
                        <w:rPr>
                          <w:rFonts w:ascii="Arial" w:hAnsi="Arial"/>
                          <w:b/>
                          <w:sz w:val="18"/>
                          <w:szCs w:val="20"/>
                        </w:rPr>
                        <w:t>Fig. 1.</w:t>
                      </w:r>
                      <w:r>
                        <w:rPr>
                          <w:rFonts w:ascii="Arial" w:hAnsi="Arial"/>
                          <w:sz w:val="18"/>
                          <w:szCs w:val="20"/>
                        </w:rPr>
                        <w:t xml:space="preserve"> Field measured with NMR vs.</w:t>
                      </w:r>
                      <w:r w:rsidRPr="00BB0725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 nominal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magneti</w:t>
                      </w:r>
                      <w:r w:rsidRPr="00B079AE">
                        <w:rPr>
                          <w:rFonts w:ascii="Arial" w:hAnsi="Arial"/>
                          <w:sz w:val="18"/>
                          <w:szCs w:val="18"/>
                        </w:rPr>
                        <w:t>c field.     Fig. 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 Homogeneity of the magnetic field near field center.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1A02">
        <w:rPr>
          <w:rFonts w:ascii="Arial" w:hAnsi="Arial" w:cs="Arial"/>
          <w:sz w:val="20"/>
          <w:szCs w:val="20"/>
        </w:rPr>
        <w:t xml:space="preserve"> </w:t>
      </w:r>
    </w:p>
    <w:p w14:paraId="735B3A2B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0DD376B7" w14:textId="0ED8A3D7"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152FA">
        <w:rPr>
          <w:rFonts w:ascii="Arial" w:eastAsia="Times New Roman" w:hAnsi="Arial" w:cs="Arial"/>
          <w:sz w:val="20"/>
          <w:szCs w:val="20"/>
          <w:lang w:eastAsia="en-US"/>
        </w:rPr>
        <w:t>T</w:t>
      </w:r>
      <w:r w:rsidR="006152FA" w:rsidRPr="00334CEB">
        <w:rPr>
          <w:rFonts w:ascii="Arial" w:eastAsia="Times New Roman" w:hAnsi="Arial" w:cs="Arial"/>
          <w:sz w:val="20"/>
          <w:szCs w:val="20"/>
          <w:lang w:eastAsia="en-US"/>
        </w:rPr>
        <w:t>his work was performed at the National High Magne</w:t>
      </w:r>
      <w:r w:rsidR="004C0D37">
        <w:rPr>
          <w:rFonts w:ascii="Arial" w:eastAsia="Times New Roman" w:hAnsi="Arial" w:cs="Arial"/>
          <w:sz w:val="20"/>
          <w:szCs w:val="20"/>
          <w:lang w:eastAsia="en-US"/>
        </w:rPr>
        <w:t xml:space="preserve">tic Field Laboratory, </w:t>
      </w:r>
      <w:r w:rsidR="00096209" w:rsidRPr="00096209">
        <w:rPr>
          <w:rFonts w:ascii="Arial" w:eastAsia="Times New Roman" w:hAnsi="Arial" w:cs="Arial"/>
          <w:sz w:val="20"/>
          <w:szCs w:val="20"/>
          <w:lang w:eastAsia="en-US"/>
        </w:rPr>
        <w:t>supported in part by the U.S. Na</w:t>
      </w:r>
      <w:r w:rsidR="004C0D37">
        <w:rPr>
          <w:rFonts w:ascii="Arial" w:eastAsia="Times New Roman" w:hAnsi="Arial" w:cs="Arial"/>
          <w:sz w:val="20"/>
          <w:szCs w:val="20"/>
          <w:lang w:eastAsia="en-US"/>
        </w:rPr>
        <w:t xml:space="preserve">tional Science Foundation </w:t>
      </w:r>
      <w:r w:rsidR="00096209" w:rsidRPr="00096209">
        <w:rPr>
          <w:rFonts w:ascii="Arial" w:eastAsia="Times New Roman" w:hAnsi="Arial" w:cs="Arial"/>
          <w:sz w:val="20"/>
          <w:szCs w:val="20"/>
          <w:lang w:eastAsia="en-US"/>
        </w:rPr>
        <w:t>Grants No. DMR-0654118, DMR-1157490, DMR-0923070 and the State of Florida.</w:t>
      </w:r>
    </w:p>
    <w:p w14:paraId="047DFDF6" w14:textId="77777777" w:rsidR="00E25473" w:rsidRPr="00DF5C97" w:rsidRDefault="00E25473" w:rsidP="0049187D">
      <w:pPr>
        <w:tabs>
          <w:tab w:val="left" w:pos="360"/>
        </w:tabs>
        <w:rPr>
          <w:rFonts w:ascii="Arial" w:hAnsi="Arial" w:cs="Arial"/>
          <w:sz w:val="10"/>
          <w:szCs w:val="20"/>
        </w:rPr>
      </w:pPr>
    </w:p>
    <w:p w14:paraId="708471AC" w14:textId="7B954C2A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6E7147EF" w14:textId="77777777" w:rsidR="00C91FC5" w:rsidRDefault="005C5938" w:rsidP="00C91FC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03F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] </w:t>
      </w:r>
      <w:r w:rsidR="00A625FA" w:rsidRPr="00A625FA">
        <w:rPr>
          <w:rFonts w:ascii="Arial" w:hAnsi="Arial" w:cs="Arial"/>
          <w:sz w:val="20"/>
          <w:szCs w:val="20"/>
        </w:rPr>
        <w:t xml:space="preserve">Markiewicz, </w:t>
      </w:r>
      <w:r w:rsidR="00096209">
        <w:rPr>
          <w:rFonts w:ascii="Arial" w:hAnsi="Arial" w:cs="Arial"/>
          <w:sz w:val="20"/>
          <w:szCs w:val="20"/>
        </w:rPr>
        <w:t>W.D.</w:t>
      </w:r>
      <w:r w:rsidR="00A625FA">
        <w:rPr>
          <w:rFonts w:ascii="Arial" w:hAnsi="Arial" w:cs="Arial"/>
          <w:sz w:val="20"/>
          <w:szCs w:val="20"/>
        </w:rPr>
        <w:t>, et al.</w:t>
      </w:r>
      <w:r w:rsidR="00A625FA" w:rsidRPr="00A625FA">
        <w:rPr>
          <w:rFonts w:ascii="Arial" w:hAnsi="Arial" w:cs="Arial"/>
          <w:sz w:val="20"/>
          <w:szCs w:val="20"/>
        </w:rPr>
        <w:t>, IEEE Trans. Appl. Supercond</w:t>
      </w:r>
      <w:r w:rsidR="00A625FA">
        <w:rPr>
          <w:rFonts w:ascii="Arial" w:hAnsi="Arial" w:cs="Arial"/>
          <w:sz w:val="20"/>
          <w:szCs w:val="20"/>
        </w:rPr>
        <w:t>.</w:t>
      </w:r>
      <w:r w:rsidR="00A625FA" w:rsidRPr="00A625FA">
        <w:rPr>
          <w:rFonts w:ascii="Arial" w:hAnsi="Arial" w:cs="Arial"/>
          <w:sz w:val="20"/>
          <w:szCs w:val="20"/>
        </w:rPr>
        <w:t xml:space="preserve">, </w:t>
      </w:r>
      <w:r w:rsidR="00A625FA" w:rsidRPr="00096209">
        <w:rPr>
          <w:rFonts w:ascii="Arial" w:hAnsi="Arial" w:cs="Arial"/>
          <w:b/>
          <w:sz w:val="20"/>
          <w:szCs w:val="20"/>
        </w:rPr>
        <w:t>22</w:t>
      </w:r>
      <w:r w:rsidR="00A625FA" w:rsidRPr="00A625FA">
        <w:rPr>
          <w:rFonts w:ascii="Arial" w:hAnsi="Arial" w:cs="Arial"/>
          <w:sz w:val="20"/>
          <w:szCs w:val="20"/>
        </w:rPr>
        <w:t>,  430070</w:t>
      </w:r>
      <w:r w:rsidR="00096209">
        <w:rPr>
          <w:rFonts w:ascii="Arial" w:hAnsi="Arial" w:cs="Arial"/>
          <w:sz w:val="20"/>
          <w:szCs w:val="20"/>
        </w:rPr>
        <w:t>7</w:t>
      </w:r>
      <w:r w:rsidR="00A625FA" w:rsidRPr="00A625FA">
        <w:rPr>
          <w:rFonts w:ascii="Arial" w:hAnsi="Arial" w:cs="Arial"/>
          <w:sz w:val="20"/>
          <w:szCs w:val="20"/>
        </w:rPr>
        <w:t xml:space="preserve"> </w:t>
      </w:r>
      <w:r w:rsidR="00A625FA">
        <w:rPr>
          <w:rFonts w:ascii="Arial" w:hAnsi="Arial" w:cs="Arial"/>
          <w:sz w:val="20"/>
          <w:szCs w:val="20"/>
        </w:rPr>
        <w:t>(</w:t>
      </w:r>
      <w:r w:rsidR="00A625FA" w:rsidRPr="00A625FA">
        <w:rPr>
          <w:rFonts w:ascii="Arial" w:hAnsi="Arial" w:cs="Arial"/>
          <w:sz w:val="20"/>
          <w:szCs w:val="20"/>
        </w:rPr>
        <w:t>2012</w:t>
      </w:r>
      <w:r w:rsidR="00A625FA">
        <w:rPr>
          <w:rFonts w:ascii="Arial" w:hAnsi="Arial" w:cs="Arial"/>
          <w:sz w:val="20"/>
          <w:szCs w:val="20"/>
        </w:rPr>
        <w:t xml:space="preserve">) </w:t>
      </w:r>
    </w:p>
    <w:p w14:paraId="382E975B" w14:textId="7A41D352" w:rsidR="00C91FC5" w:rsidRDefault="00C91FC5" w:rsidP="00C91FC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2D48F9">
        <w:rPr>
          <w:rFonts w:ascii="Arial" w:hAnsi="Arial" w:cs="Arial"/>
          <w:sz w:val="20"/>
          <w:szCs w:val="20"/>
        </w:rPr>
        <w:t xml:space="preserve">2] </w:t>
      </w:r>
      <w:r w:rsidR="00096209" w:rsidRPr="00096209">
        <w:rPr>
          <w:rFonts w:ascii="Arial" w:hAnsi="Arial" w:cs="Arial"/>
          <w:sz w:val="20"/>
          <w:szCs w:val="20"/>
        </w:rPr>
        <w:t xml:space="preserve">Weijers, </w:t>
      </w:r>
      <w:r w:rsidR="00096209">
        <w:rPr>
          <w:rFonts w:ascii="Arial" w:hAnsi="Arial" w:cs="Arial"/>
          <w:sz w:val="20"/>
          <w:szCs w:val="20"/>
        </w:rPr>
        <w:t>H.</w:t>
      </w:r>
      <w:r w:rsidR="00096209" w:rsidRPr="00096209">
        <w:rPr>
          <w:rFonts w:ascii="Arial" w:hAnsi="Arial" w:cs="Arial"/>
          <w:sz w:val="20"/>
          <w:szCs w:val="20"/>
        </w:rPr>
        <w:t>W.</w:t>
      </w:r>
      <w:r w:rsidR="00096209">
        <w:rPr>
          <w:rFonts w:ascii="Arial" w:hAnsi="Arial" w:cs="Arial"/>
          <w:sz w:val="20"/>
          <w:szCs w:val="20"/>
        </w:rPr>
        <w:t>, et al.,</w:t>
      </w:r>
      <w:r w:rsidR="00096209" w:rsidRPr="00096209">
        <w:rPr>
          <w:rFonts w:ascii="Arial" w:hAnsi="Arial" w:cs="Arial"/>
          <w:sz w:val="20"/>
          <w:szCs w:val="20"/>
        </w:rPr>
        <w:t xml:space="preserve"> IEEE Transactions on Applied Superconductivity, </w:t>
      </w:r>
      <w:r w:rsidR="00096209" w:rsidRPr="00096209">
        <w:rPr>
          <w:rFonts w:ascii="Arial" w:hAnsi="Arial" w:cs="Arial"/>
          <w:b/>
          <w:sz w:val="20"/>
          <w:szCs w:val="20"/>
        </w:rPr>
        <w:t>24</w:t>
      </w:r>
      <w:r w:rsidR="00096209">
        <w:rPr>
          <w:rFonts w:ascii="Arial" w:hAnsi="Arial" w:cs="Arial"/>
          <w:b/>
          <w:sz w:val="20"/>
          <w:szCs w:val="20"/>
        </w:rPr>
        <w:t>-</w:t>
      </w:r>
      <w:r w:rsidR="00096209" w:rsidRPr="00096209">
        <w:rPr>
          <w:rFonts w:ascii="Arial" w:hAnsi="Arial" w:cs="Arial"/>
          <w:sz w:val="20"/>
          <w:szCs w:val="20"/>
        </w:rPr>
        <w:t>3</w:t>
      </w:r>
      <w:r w:rsidR="00096209">
        <w:rPr>
          <w:rFonts w:ascii="Arial" w:hAnsi="Arial" w:cs="Arial"/>
          <w:sz w:val="20"/>
          <w:szCs w:val="20"/>
        </w:rPr>
        <w:t xml:space="preserve"> </w:t>
      </w:r>
      <w:r w:rsidR="00096209" w:rsidRPr="00096209">
        <w:rPr>
          <w:rFonts w:ascii="Arial" w:hAnsi="Arial" w:cs="Arial"/>
          <w:sz w:val="20"/>
          <w:szCs w:val="20"/>
        </w:rPr>
        <w:t>4301805</w:t>
      </w:r>
      <w:r w:rsidR="00096209">
        <w:rPr>
          <w:rFonts w:ascii="Arial" w:hAnsi="Arial" w:cs="Arial"/>
          <w:sz w:val="20"/>
          <w:szCs w:val="20"/>
        </w:rPr>
        <w:t xml:space="preserve"> (2015)</w:t>
      </w:r>
    </w:p>
    <w:sectPr w:rsidR="00C91FC5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837AE" w14:textId="77777777" w:rsidR="00B15653" w:rsidRDefault="00B15653">
      <w:r>
        <w:separator/>
      </w:r>
    </w:p>
  </w:endnote>
  <w:endnote w:type="continuationSeparator" w:id="0">
    <w:p w14:paraId="34C3BE93" w14:textId="77777777" w:rsidR="00B15653" w:rsidRDefault="00B1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FC503" w14:textId="77777777" w:rsidR="00B27BF3" w:rsidRDefault="00B27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65AB" w14:textId="77777777" w:rsidR="00B27BF3" w:rsidRDefault="00B27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8F647" w14:textId="77777777" w:rsidR="00B27BF3" w:rsidRDefault="00B27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1325B" w14:textId="77777777" w:rsidR="00B15653" w:rsidRDefault="00B15653">
      <w:r>
        <w:separator/>
      </w:r>
    </w:p>
  </w:footnote>
  <w:footnote w:type="continuationSeparator" w:id="0">
    <w:p w14:paraId="36E1E2C1" w14:textId="77777777" w:rsidR="00B15653" w:rsidRDefault="00B1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B5A9" w14:textId="77777777" w:rsidR="00B27BF3" w:rsidRDefault="00B27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4748" w14:textId="008A6470" w:rsidR="00CE3507" w:rsidRDefault="00CE350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C429B1" wp14:editId="2A61AF2F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F95" w14:textId="77777777" w:rsidR="00B27BF3" w:rsidRPr="00091A2B" w:rsidRDefault="00B27BF3" w:rsidP="00B27B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7258A967" w14:textId="77777777" w:rsidR="00B27BF3" w:rsidRPr="00091A2B" w:rsidRDefault="00B27BF3" w:rsidP="00B27B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14:paraId="2329D2FA" w14:textId="571CCDB2" w:rsidR="00CE3507" w:rsidRPr="00306550" w:rsidRDefault="00CE3507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070BFF95" w14:textId="77777777" w:rsidR="00B27BF3" w:rsidRPr="00091A2B" w:rsidRDefault="00B27BF3" w:rsidP="00B27BF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7258A967" w14:textId="77777777" w:rsidR="00B27BF3" w:rsidRPr="00091A2B" w:rsidRDefault="00B27BF3" w:rsidP="00B27BF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14:paraId="2329D2FA" w14:textId="571CCDB2" w:rsidR="00CE3507" w:rsidRPr="00306550" w:rsidRDefault="00CE3507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6E805147" wp14:editId="31544FA4">
          <wp:extent cx="523875" cy="630555"/>
          <wp:effectExtent l="0" t="0" r="9525" b="444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A45D" w14:textId="77777777" w:rsidR="00B27BF3" w:rsidRDefault="00B27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E2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Bird">
    <w15:presenceInfo w15:providerId="AD" w15:userId="S-1-5-21-1554044704-1672238070-1678038838-1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675C32-FCC7-4D13-8380-73C506E5CFF1}"/>
    <w:docVar w:name="dgnword-eventsink" w:val="314354336"/>
  </w:docVars>
  <w:rsids>
    <w:rsidRoot w:val="00731C19"/>
    <w:rsid w:val="00020C55"/>
    <w:rsid w:val="00042A6C"/>
    <w:rsid w:val="000558AC"/>
    <w:rsid w:val="000736B9"/>
    <w:rsid w:val="000821D3"/>
    <w:rsid w:val="00085670"/>
    <w:rsid w:val="00096209"/>
    <w:rsid w:val="000A1716"/>
    <w:rsid w:val="000A59A8"/>
    <w:rsid w:val="000D3516"/>
    <w:rsid w:val="000E1695"/>
    <w:rsid w:val="000E1D4F"/>
    <w:rsid w:val="00104A4C"/>
    <w:rsid w:val="00113D92"/>
    <w:rsid w:val="00120180"/>
    <w:rsid w:val="0014131B"/>
    <w:rsid w:val="00141FE9"/>
    <w:rsid w:val="00150284"/>
    <w:rsid w:val="001552A9"/>
    <w:rsid w:val="00155AD2"/>
    <w:rsid w:val="00167606"/>
    <w:rsid w:val="0017121C"/>
    <w:rsid w:val="001836FA"/>
    <w:rsid w:val="0018419E"/>
    <w:rsid w:val="0018697C"/>
    <w:rsid w:val="00187023"/>
    <w:rsid w:val="001A78A4"/>
    <w:rsid w:val="001C5B02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191C"/>
    <w:rsid w:val="002524EE"/>
    <w:rsid w:val="00265A15"/>
    <w:rsid w:val="00290223"/>
    <w:rsid w:val="002A4A0B"/>
    <w:rsid w:val="002C1FEA"/>
    <w:rsid w:val="002C7675"/>
    <w:rsid w:val="002D48F9"/>
    <w:rsid w:val="002F042C"/>
    <w:rsid w:val="00306550"/>
    <w:rsid w:val="00312C04"/>
    <w:rsid w:val="00334CEB"/>
    <w:rsid w:val="00343830"/>
    <w:rsid w:val="00353116"/>
    <w:rsid w:val="003560D2"/>
    <w:rsid w:val="00363C8F"/>
    <w:rsid w:val="00376D2C"/>
    <w:rsid w:val="00393065"/>
    <w:rsid w:val="003A1FF5"/>
    <w:rsid w:val="003B559B"/>
    <w:rsid w:val="003C6493"/>
    <w:rsid w:val="003E2F8E"/>
    <w:rsid w:val="003E6DA1"/>
    <w:rsid w:val="003F55A7"/>
    <w:rsid w:val="003F6E7E"/>
    <w:rsid w:val="003F6F10"/>
    <w:rsid w:val="00410D2C"/>
    <w:rsid w:val="00411229"/>
    <w:rsid w:val="004168A4"/>
    <w:rsid w:val="00420894"/>
    <w:rsid w:val="00450A33"/>
    <w:rsid w:val="00450C97"/>
    <w:rsid w:val="004619C1"/>
    <w:rsid w:val="00463AF4"/>
    <w:rsid w:val="0048652F"/>
    <w:rsid w:val="00486FF9"/>
    <w:rsid w:val="0049187D"/>
    <w:rsid w:val="00491C5D"/>
    <w:rsid w:val="004946DF"/>
    <w:rsid w:val="0049769D"/>
    <w:rsid w:val="004A227C"/>
    <w:rsid w:val="004C0D37"/>
    <w:rsid w:val="004F160B"/>
    <w:rsid w:val="005034C0"/>
    <w:rsid w:val="0051081C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5C5938"/>
    <w:rsid w:val="006152FA"/>
    <w:rsid w:val="00625028"/>
    <w:rsid w:val="00627F7D"/>
    <w:rsid w:val="006479C4"/>
    <w:rsid w:val="00661004"/>
    <w:rsid w:val="006612DC"/>
    <w:rsid w:val="00672D41"/>
    <w:rsid w:val="006B3824"/>
    <w:rsid w:val="006C4440"/>
    <w:rsid w:val="006D0539"/>
    <w:rsid w:val="006D745E"/>
    <w:rsid w:val="006E2CE0"/>
    <w:rsid w:val="006E4A9F"/>
    <w:rsid w:val="0071330B"/>
    <w:rsid w:val="007207FF"/>
    <w:rsid w:val="00731C19"/>
    <w:rsid w:val="00734E94"/>
    <w:rsid w:val="00736829"/>
    <w:rsid w:val="00764FB5"/>
    <w:rsid w:val="00774A49"/>
    <w:rsid w:val="007A7B10"/>
    <w:rsid w:val="007C0813"/>
    <w:rsid w:val="007D3105"/>
    <w:rsid w:val="007E2F28"/>
    <w:rsid w:val="007F0471"/>
    <w:rsid w:val="008478E5"/>
    <w:rsid w:val="008528B7"/>
    <w:rsid w:val="00862CB5"/>
    <w:rsid w:val="00883638"/>
    <w:rsid w:val="008A1D84"/>
    <w:rsid w:val="008A3266"/>
    <w:rsid w:val="008B05B8"/>
    <w:rsid w:val="008B4F17"/>
    <w:rsid w:val="008C5788"/>
    <w:rsid w:val="008D0CF5"/>
    <w:rsid w:val="008E1999"/>
    <w:rsid w:val="008E5BC5"/>
    <w:rsid w:val="008E5C85"/>
    <w:rsid w:val="008F06C8"/>
    <w:rsid w:val="008F35CC"/>
    <w:rsid w:val="008F6083"/>
    <w:rsid w:val="009174F2"/>
    <w:rsid w:val="009648AC"/>
    <w:rsid w:val="0097134D"/>
    <w:rsid w:val="0097182B"/>
    <w:rsid w:val="009A2849"/>
    <w:rsid w:val="009A39F6"/>
    <w:rsid w:val="009A3F73"/>
    <w:rsid w:val="009B41B2"/>
    <w:rsid w:val="009B64DB"/>
    <w:rsid w:val="009C318D"/>
    <w:rsid w:val="009C3DF0"/>
    <w:rsid w:val="009C7F31"/>
    <w:rsid w:val="009D0AF5"/>
    <w:rsid w:val="009D39A4"/>
    <w:rsid w:val="009E4F1E"/>
    <w:rsid w:val="00A03FDE"/>
    <w:rsid w:val="00A1227A"/>
    <w:rsid w:val="00A43CDE"/>
    <w:rsid w:val="00A44A4D"/>
    <w:rsid w:val="00A55035"/>
    <w:rsid w:val="00A625FA"/>
    <w:rsid w:val="00A758E6"/>
    <w:rsid w:val="00A94FC4"/>
    <w:rsid w:val="00AC297F"/>
    <w:rsid w:val="00AC4AFE"/>
    <w:rsid w:val="00AD3CDD"/>
    <w:rsid w:val="00AE142B"/>
    <w:rsid w:val="00AF0CB8"/>
    <w:rsid w:val="00AF7C63"/>
    <w:rsid w:val="00B00CDB"/>
    <w:rsid w:val="00B079AE"/>
    <w:rsid w:val="00B1357E"/>
    <w:rsid w:val="00B15653"/>
    <w:rsid w:val="00B25D4D"/>
    <w:rsid w:val="00B27BF3"/>
    <w:rsid w:val="00B45112"/>
    <w:rsid w:val="00B5585D"/>
    <w:rsid w:val="00B71405"/>
    <w:rsid w:val="00B75DC9"/>
    <w:rsid w:val="00B8001E"/>
    <w:rsid w:val="00B94321"/>
    <w:rsid w:val="00B95FCB"/>
    <w:rsid w:val="00B96080"/>
    <w:rsid w:val="00BA00BE"/>
    <w:rsid w:val="00BA7096"/>
    <w:rsid w:val="00BB0725"/>
    <w:rsid w:val="00BB3D5D"/>
    <w:rsid w:val="00BE2257"/>
    <w:rsid w:val="00BE5EE5"/>
    <w:rsid w:val="00BF5CF2"/>
    <w:rsid w:val="00C02601"/>
    <w:rsid w:val="00C02989"/>
    <w:rsid w:val="00C076C7"/>
    <w:rsid w:val="00C13313"/>
    <w:rsid w:val="00C1685D"/>
    <w:rsid w:val="00C32F59"/>
    <w:rsid w:val="00C57735"/>
    <w:rsid w:val="00C75A17"/>
    <w:rsid w:val="00C81666"/>
    <w:rsid w:val="00C83434"/>
    <w:rsid w:val="00C83EAA"/>
    <w:rsid w:val="00C874B6"/>
    <w:rsid w:val="00C91FC5"/>
    <w:rsid w:val="00C93F0D"/>
    <w:rsid w:val="00CA6625"/>
    <w:rsid w:val="00CB0819"/>
    <w:rsid w:val="00CB1A7C"/>
    <w:rsid w:val="00CB3104"/>
    <w:rsid w:val="00CB4058"/>
    <w:rsid w:val="00CC5B40"/>
    <w:rsid w:val="00CE3507"/>
    <w:rsid w:val="00CE3F90"/>
    <w:rsid w:val="00CE5C2E"/>
    <w:rsid w:val="00CF742D"/>
    <w:rsid w:val="00D01F6B"/>
    <w:rsid w:val="00D0313F"/>
    <w:rsid w:val="00D07879"/>
    <w:rsid w:val="00D1756D"/>
    <w:rsid w:val="00D65CBB"/>
    <w:rsid w:val="00D67B56"/>
    <w:rsid w:val="00D851F6"/>
    <w:rsid w:val="00D85EC7"/>
    <w:rsid w:val="00D869AD"/>
    <w:rsid w:val="00DD44E5"/>
    <w:rsid w:val="00DE3216"/>
    <w:rsid w:val="00DF5C97"/>
    <w:rsid w:val="00E04B24"/>
    <w:rsid w:val="00E07ED9"/>
    <w:rsid w:val="00E25473"/>
    <w:rsid w:val="00E346CB"/>
    <w:rsid w:val="00E411D1"/>
    <w:rsid w:val="00E43BB4"/>
    <w:rsid w:val="00E5095B"/>
    <w:rsid w:val="00E53F71"/>
    <w:rsid w:val="00E57E61"/>
    <w:rsid w:val="00E60509"/>
    <w:rsid w:val="00E96AC8"/>
    <w:rsid w:val="00EA0C13"/>
    <w:rsid w:val="00EA1E33"/>
    <w:rsid w:val="00EB1A02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67F76"/>
    <w:rsid w:val="00F8198A"/>
    <w:rsid w:val="00F908F6"/>
    <w:rsid w:val="00F935F1"/>
    <w:rsid w:val="00F95583"/>
    <w:rsid w:val="00F974C6"/>
    <w:rsid w:val="00FB4399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B240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rsid w:val="00713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30B"/>
    <w:rPr>
      <w:sz w:val="20"/>
      <w:szCs w:val="20"/>
    </w:rPr>
  </w:style>
  <w:style w:type="character" w:customStyle="1" w:styleId="CommentTextChar">
    <w:name w:val="Comment Text Char"/>
    <w:link w:val="CommentText"/>
    <w:rsid w:val="0071330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1330B"/>
    <w:rPr>
      <w:b/>
      <w:bCs/>
    </w:rPr>
  </w:style>
  <w:style w:type="character" w:customStyle="1" w:styleId="CommentSubjectChar">
    <w:name w:val="Comment Subject Char"/>
    <w:link w:val="CommentSubject"/>
    <w:rsid w:val="0071330B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rsid w:val="00713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30B"/>
    <w:rPr>
      <w:sz w:val="20"/>
      <w:szCs w:val="20"/>
    </w:rPr>
  </w:style>
  <w:style w:type="character" w:customStyle="1" w:styleId="CommentTextChar">
    <w:name w:val="Comment Text Char"/>
    <w:link w:val="CommentText"/>
    <w:rsid w:val="0071330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1330B"/>
    <w:rPr>
      <w:b/>
      <w:bCs/>
    </w:rPr>
  </w:style>
  <w:style w:type="character" w:customStyle="1" w:styleId="CommentSubjectChar">
    <w:name w:val="Comment Subject Char"/>
    <w:link w:val="CommentSubject"/>
    <w:rsid w:val="0071330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dc:description/>
  <cp:lastModifiedBy>Anke Toth</cp:lastModifiedBy>
  <cp:revision>9</cp:revision>
  <cp:lastPrinted>2015-07-15T20:10:00Z</cp:lastPrinted>
  <dcterms:created xsi:type="dcterms:W3CDTF">2018-01-26T19:24:00Z</dcterms:created>
  <dcterms:modified xsi:type="dcterms:W3CDTF">2018-04-03T18:43:00Z</dcterms:modified>
</cp:coreProperties>
</file>