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34D0" w14:textId="77777777" w:rsidR="00C75A17" w:rsidRPr="00D65CBB" w:rsidRDefault="00BD2DCB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FE505C">
        <w:rPr>
          <w:rFonts w:ascii="Arial" w:hAnsi="Arial" w:cs="Arial"/>
          <w:b/>
        </w:rPr>
        <w:t xml:space="preserve">Calculations of </w:t>
      </w:r>
      <w:r w:rsidR="00476331">
        <w:rPr>
          <w:rFonts w:ascii="Arial" w:hAnsi="Arial" w:cs="Arial"/>
          <w:b/>
        </w:rPr>
        <w:t xml:space="preserve">Temperature Dependent NQR Frequencies in </w:t>
      </w:r>
      <w:r w:rsidR="00476331" w:rsidRPr="00476331">
        <w:rPr>
          <w:rFonts w:ascii="Arial" w:hAnsi="Arial" w:cs="Arial"/>
          <w:b/>
        </w:rPr>
        <w:t>β</w:t>
      </w:r>
      <w:r w:rsidR="00476331">
        <w:rPr>
          <w:rFonts w:ascii="Arial" w:hAnsi="Arial" w:cs="Arial"/>
          <w:b/>
        </w:rPr>
        <w:t>-HMX</w:t>
      </w:r>
    </w:p>
    <w:p w14:paraId="6357E581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33FCD0F" w14:textId="431E9557" w:rsidR="00AE40AD" w:rsidRDefault="007D1C5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Majewski,</w:t>
      </w:r>
      <w:r w:rsidR="00DF5BB9">
        <w:rPr>
          <w:rFonts w:ascii="Arial" w:hAnsi="Arial" w:cs="Arial"/>
          <w:sz w:val="20"/>
          <w:szCs w:val="20"/>
        </w:rPr>
        <w:t xml:space="preserve"> </w:t>
      </w:r>
      <w:r w:rsidR="00AE40AD">
        <w:rPr>
          <w:rFonts w:ascii="Arial" w:hAnsi="Arial" w:cs="Arial"/>
          <w:sz w:val="20"/>
          <w:szCs w:val="20"/>
        </w:rPr>
        <w:t>A.R. (NHMFL &amp; UF Physics)</w:t>
      </w:r>
      <w:r w:rsidR="00DF5BB9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Billman,</w:t>
      </w:r>
      <w:r w:rsidR="00AE40AD">
        <w:rPr>
          <w:rFonts w:ascii="Arial" w:hAnsi="Arial" w:cs="Arial"/>
          <w:sz w:val="20"/>
          <w:szCs w:val="20"/>
        </w:rPr>
        <w:t xml:space="preserve"> C.R. (UF Physics)</w:t>
      </w:r>
      <w:r w:rsidR="00DF5BB9">
        <w:rPr>
          <w:rFonts w:ascii="Arial" w:hAnsi="Arial" w:cs="Arial"/>
          <w:sz w:val="20"/>
          <w:szCs w:val="20"/>
        </w:rPr>
        <w:t xml:space="preserve">; </w:t>
      </w:r>
      <w:r w:rsidRPr="00DF5BB9">
        <w:rPr>
          <w:rFonts w:ascii="Arial" w:hAnsi="Arial" w:cs="Arial"/>
          <w:sz w:val="20"/>
          <w:szCs w:val="20"/>
        </w:rPr>
        <w:t xml:space="preserve">Sullivan, </w:t>
      </w:r>
      <w:r w:rsidR="00DF5BB9">
        <w:rPr>
          <w:rFonts w:ascii="Arial" w:hAnsi="Arial" w:cs="Arial"/>
          <w:sz w:val="20"/>
          <w:szCs w:val="20"/>
        </w:rPr>
        <w:t>N.</w:t>
      </w:r>
      <w:r w:rsidR="00AE40AD" w:rsidRPr="00DF5BB9">
        <w:rPr>
          <w:rFonts w:ascii="Arial" w:hAnsi="Arial" w:cs="Arial"/>
          <w:sz w:val="20"/>
          <w:szCs w:val="20"/>
        </w:rPr>
        <w:t xml:space="preserve">S. </w:t>
      </w:r>
      <w:r w:rsidR="00AE40AD">
        <w:rPr>
          <w:rFonts w:ascii="Arial" w:hAnsi="Arial" w:cs="Arial"/>
          <w:sz w:val="20"/>
          <w:szCs w:val="20"/>
        </w:rPr>
        <w:t>(NHMFL &amp; UF Physics)</w:t>
      </w:r>
      <w:r w:rsidR="00DF5BB9">
        <w:rPr>
          <w:rFonts w:ascii="Arial" w:hAnsi="Arial" w:cs="Arial"/>
          <w:sz w:val="20"/>
          <w:szCs w:val="20"/>
        </w:rPr>
        <w:t>;</w:t>
      </w:r>
    </w:p>
    <w:p w14:paraId="3E0C6CD1" w14:textId="22F3E374" w:rsidR="00A94FC4" w:rsidRPr="007D1C51" w:rsidRDefault="00AE40A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F5BB9">
        <w:rPr>
          <w:rFonts w:ascii="Arial" w:hAnsi="Arial" w:cs="Arial"/>
          <w:sz w:val="20"/>
          <w:szCs w:val="20"/>
          <w:u w:val="single"/>
        </w:rPr>
        <w:t>Cheng, H</w:t>
      </w:r>
      <w:r w:rsidR="00DF5BB9">
        <w:rPr>
          <w:rFonts w:ascii="Arial" w:hAnsi="Arial" w:cs="Arial"/>
          <w:sz w:val="20"/>
          <w:szCs w:val="20"/>
          <w:u w:val="single"/>
        </w:rPr>
        <w:t>.</w:t>
      </w:r>
      <w:r w:rsidRPr="00DF5BB9">
        <w:rPr>
          <w:rFonts w:ascii="Arial" w:hAnsi="Arial" w:cs="Arial"/>
          <w:sz w:val="20"/>
          <w:szCs w:val="20"/>
          <w:u w:val="single"/>
        </w:rPr>
        <w:t>-P</w:t>
      </w:r>
      <w:r w:rsidR="00DF5BB9">
        <w:rPr>
          <w:rFonts w:ascii="Arial" w:hAnsi="Arial" w:cs="Arial"/>
          <w:sz w:val="20"/>
          <w:szCs w:val="20"/>
          <w:u w:val="single"/>
        </w:rPr>
        <w:t>.</w:t>
      </w:r>
      <w:bookmarkStart w:id="0" w:name="_GoBack"/>
      <w:bookmarkEnd w:id="0"/>
      <w:r w:rsidRPr="00DF5BB9">
        <w:rPr>
          <w:rFonts w:ascii="Arial" w:hAnsi="Arial" w:cs="Arial"/>
          <w:sz w:val="20"/>
          <w:szCs w:val="20"/>
          <w:u w:val="single"/>
        </w:rPr>
        <w:t xml:space="preserve"> </w:t>
      </w:r>
      <w:r w:rsidR="007D1C51">
        <w:rPr>
          <w:rFonts w:ascii="Arial" w:hAnsi="Arial" w:cs="Arial"/>
          <w:sz w:val="20"/>
          <w:szCs w:val="20"/>
        </w:rPr>
        <w:t>(UF Physics)</w:t>
      </w:r>
    </w:p>
    <w:p w14:paraId="7DB7576D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DA1F811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9B68D9A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B63164C" w14:textId="2F817F18" w:rsidR="002524EE" w:rsidRPr="006B3824" w:rsidRDefault="006B3824" w:rsidP="00476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476331">
        <w:rPr>
          <w:rFonts w:ascii="Arial" w:hAnsi="Arial" w:cs="Arial"/>
          <w:sz w:val="20"/>
          <w:szCs w:val="20"/>
        </w:rPr>
        <w:t xml:space="preserve">Nuclear quadrupole resonance (NQR) spectroscopy is an RF technique for solid materials that is similar to NMR in practice, </w:t>
      </w:r>
      <w:r w:rsidR="00C3471F">
        <w:rPr>
          <w:rFonts w:ascii="Arial" w:hAnsi="Arial" w:cs="Arial"/>
          <w:sz w:val="20"/>
          <w:szCs w:val="20"/>
        </w:rPr>
        <w:t xml:space="preserve">however </w:t>
      </w:r>
      <w:r w:rsidR="00476331">
        <w:rPr>
          <w:rFonts w:ascii="Arial" w:hAnsi="Arial" w:cs="Arial"/>
          <w:sz w:val="20"/>
          <w:szCs w:val="20"/>
        </w:rPr>
        <w:t>with some key differences</w:t>
      </w:r>
      <w:r w:rsidR="00C3471F">
        <w:rPr>
          <w:rFonts w:ascii="Arial" w:hAnsi="Arial" w:cs="Arial"/>
          <w:sz w:val="20"/>
          <w:szCs w:val="20"/>
        </w:rPr>
        <w:t xml:space="preserve"> in the underlying physics</w:t>
      </w:r>
      <w:r w:rsidR="00476331">
        <w:rPr>
          <w:rFonts w:ascii="Arial" w:hAnsi="Arial" w:cs="Arial"/>
          <w:sz w:val="20"/>
          <w:szCs w:val="20"/>
        </w:rPr>
        <w:t xml:space="preserve">. </w:t>
      </w:r>
      <w:r w:rsidR="00C3471F">
        <w:rPr>
          <w:rFonts w:ascii="Arial" w:hAnsi="Arial" w:cs="Arial"/>
          <w:sz w:val="20"/>
          <w:szCs w:val="20"/>
        </w:rPr>
        <w:t xml:space="preserve">Because </w:t>
      </w:r>
      <w:r w:rsidR="00476331">
        <w:rPr>
          <w:rFonts w:ascii="Arial" w:hAnsi="Arial" w:cs="Arial"/>
          <w:sz w:val="20"/>
          <w:szCs w:val="20"/>
        </w:rPr>
        <w:t xml:space="preserve">NQR relies the interaction of the nuclear electric quadrupole moment with the local electric field gradient (EFG), </w:t>
      </w:r>
      <w:r w:rsidR="00C3471F">
        <w:rPr>
          <w:rFonts w:ascii="Arial" w:hAnsi="Arial" w:cs="Arial"/>
          <w:sz w:val="20"/>
          <w:szCs w:val="20"/>
        </w:rPr>
        <w:t xml:space="preserve">a second rank tensor </w:t>
      </w:r>
      <w:r w:rsidR="00476331">
        <w:rPr>
          <w:rFonts w:ascii="Arial" w:hAnsi="Arial" w:cs="Arial"/>
          <w:sz w:val="20"/>
          <w:szCs w:val="20"/>
        </w:rPr>
        <w:t xml:space="preserve">which depends on the electronic structure of the material, NQR frequencies </w:t>
      </w:r>
      <w:r w:rsidR="00C3471F">
        <w:rPr>
          <w:rFonts w:ascii="Arial" w:hAnsi="Arial" w:cs="Arial"/>
          <w:sz w:val="20"/>
          <w:szCs w:val="20"/>
        </w:rPr>
        <w:t xml:space="preserve">are </w:t>
      </w:r>
      <w:r w:rsidR="00476331">
        <w:rPr>
          <w:rFonts w:ascii="Arial" w:hAnsi="Arial" w:cs="Arial"/>
          <w:sz w:val="20"/>
          <w:szCs w:val="20"/>
        </w:rPr>
        <w:t>material specific</w:t>
      </w:r>
      <w:r w:rsidR="00C3471F">
        <w:rPr>
          <w:rFonts w:ascii="Arial" w:hAnsi="Arial" w:cs="Arial"/>
          <w:sz w:val="20"/>
          <w:szCs w:val="20"/>
        </w:rPr>
        <w:t xml:space="preserve"> </w:t>
      </w:r>
      <w:r w:rsidR="00B43B03">
        <w:rPr>
          <w:rFonts w:ascii="Arial" w:hAnsi="Arial" w:cs="Arial"/>
          <w:sz w:val="20"/>
          <w:szCs w:val="20"/>
        </w:rPr>
        <w:t xml:space="preserve">and strongly temperature dependent.  The theory of NQR T-dependence has long been discussed and various models have been proposed, with mixed results [1]. </w:t>
      </w:r>
      <w:r w:rsidR="00542B3B">
        <w:rPr>
          <w:rFonts w:ascii="Arial" w:hAnsi="Arial" w:cs="Arial"/>
          <w:sz w:val="20"/>
          <w:szCs w:val="20"/>
        </w:rPr>
        <w:t xml:space="preserve"> </w:t>
      </w:r>
      <w:r w:rsidR="00476331">
        <w:rPr>
          <w:rFonts w:ascii="Arial" w:hAnsi="Arial" w:cs="Arial"/>
          <w:sz w:val="20"/>
          <w:szCs w:val="20"/>
        </w:rPr>
        <w:t xml:space="preserve">It has </w:t>
      </w:r>
      <w:r w:rsidR="00542B3B">
        <w:rPr>
          <w:rFonts w:ascii="Arial" w:hAnsi="Arial" w:cs="Arial"/>
          <w:sz w:val="20"/>
          <w:szCs w:val="20"/>
        </w:rPr>
        <w:t xml:space="preserve">recently </w:t>
      </w:r>
      <w:r w:rsidR="00476331">
        <w:rPr>
          <w:rFonts w:ascii="Arial" w:hAnsi="Arial" w:cs="Arial"/>
          <w:sz w:val="20"/>
          <w:szCs w:val="20"/>
        </w:rPr>
        <w:t>been shown that DFT methods can accurately predict solid state NMR and NQR paramet</w:t>
      </w:r>
      <w:r w:rsidR="00B43B03">
        <w:rPr>
          <w:rFonts w:ascii="Arial" w:hAnsi="Arial" w:cs="Arial"/>
          <w:sz w:val="20"/>
          <w:szCs w:val="20"/>
        </w:rPr>
        <w:t>ers in the static lattice [2</w:t>
      </w:r>
      <w:r w:rsidR="00476331">
        <w:rPr>
          <w:rFonts w:ascii="Arial" w:hAnsi="Arial" w:cs="Arial"/>
          <w:sz w:val="20"/>
          <w:szCs w:val="20"/>
        </w:rPr>
        <w:t>]</w:t>
      </w:r>
      <w:r w:rsidR="00AE6E09">
        <w:rPr>
          <w:rFonts w:ascii="Arial" w:hAnsi="Arial" w:cs="Arial"/>
          <w:sz w:val="20"/>
          <w:szCs w:val="20"/>
        </w:rPr>
        <w:t>[3]</w:t>
      </w:r>
      <w:r w:rsidR="00476331">
        <w:rPr>
          <w:rFonts w:ascii="Arial" w:hAnsi="Arial" w:cs="Arial"/>
          <w:sz w:val="20"/>
          <w:szCs w:val="20"/>
        </w:rPr>
        <w:t xml:space="preserve">.  </w:t>
      </w:r>
      <w:r w:rsidR="002E3E23">
        <w:rPr>
          <w:rFonts w:ascii="Arial" w:hAnsi="Arial" w:cs="Arial"/>
          <w:sz w:val="20"/>
          <w:szCs w:val="20"/>
        </w:rPr>
        <w:t>Work has been carried out</w:t>
      </w:r>
      <w:r w:rsidR="00476331">
        <w:rPr>
          <w:rFonts w:ascii="Arial" w:hAnsi="Arial" w:cs="Arial"/>
          <w:sz w:val="20"/>
          <w:szCs w:val="20"/>
        </w:rPr>
        <w:t xml:space="preserve"> to extend calculations of NMR parameters to systems at finite temperature by accounting for</w:t>
      </w:r>
      <w:r w:rsidR="00596789">
        <w:rPr>
          <w:rFonts w:ascii="Arial" w:hAnsi="Arial" w:cs="Arial"/>
          <w:sz w:val="20"/>
          <w:szCs w:val="20"/>
        </w:rPr>
        <w:t xml:space="preserve"> motional effects [4</w:t>
      </w:r>
      <w:r w:rsidR="00B43B03">
        <w:rPr>
          <w:rFonts w:ascii="Arial" w:hAnsi="Arial" w:cs="Arial"/>
          <w:sz w:val="20"/>
          <w:szCs w:val="20"/>
        </w:rPr>
        <w:t xml:space="preserve">], but no such effort has been made to </w:t>
      </w:r>
      <w:r w:rsidR="002E3E23">
        <w:rPr>
          <w:rFonts w:ascii="Arial" w:hAnsi="Arial" w:cs="Arial"/>
          <w:sz w:val="20"/>
          <w:szCs w:val="20"/>
        </w:rPr>
        <w:t>account for</w:t>
      </w:r>
      <w:r w:rsidR="00B43B03">
        <w:rPr>
          <w:rFonts w:ascii="Arial" w:hAnsi="Arial" w:cs="Arial"/>
          <w:sz w:val="20"/>
          <w:szCs w:val="20"/>
        </w:rPr>
        <w:t xml:space="preserve"> NQR</w:t>
      </w:r>
      <w:r w:rsidR="002E3E23">
        <w:rPr>
          <w:rFonts w:ascii="Arial" w:hAnsi="Arial" w:cs="Arial"/>
          <w:sz w:val="20"/>
          <w:szCs w:val="20"/>
        </w:rPr>
        <w:t xml:space="preserve"> T-dependence</w:t>
      </w:r>
      <w:r w:rsidR="00D64FAE">
        <w:rPr>
          <w:rFonts w:ascii="Arial" w:hAnsi="Arial" w:cs="Arial"/>
          <w:sz w:val="20"/>
          <w:szCs w:val="20"/>
        </w:rPr>
        <w:t xml:space="preserve">.  This work concerns calculations of the NQR parameters in </w:t>
      </w:r>
      <w:r w:rsidR="006B214B">
        <w:rPr>
          <w:rFonts w:ascii="Arial" w:hAnsi="Arial" w:cs="Arial"/>
          <w:sz w:val="20"/>
          <w:szCs w:val="20"/>
        </w:rPr>
        <w:t>β-HMX, a well-</w:t>
      </w:r>
      <w:r w:rsidR="002E3E23" w:rsidRPr="002E3E23">
        <w:rPr>
          <w:rFonts w:ascii="Arial" w:hAnsi="Arial" w:cs="Arial"/>
          <w:sz w:val="20"/>
          <w:szCs w:val="20"/>
        </w:rPr>
        <w:t xml:space="preserve">known nitramine explosive compound whose NQR </w:t>
      </w:r>
      <w:r w:rsidR="002E3E23">
        <w:rPr>
          <w:rFonts w:ascii="Arial" w:hAnsi="Arial" w:cs="Arial"/>
          <w:sz w:val="20"/>
          <w:szCs w:val="20"/>
        </w:rPr>
        <w:t>spectra</w:t>
      </w:r>
      <w:r w:rsidR="002E3E23" w:rsidRPr="002E3E23">
        <w:rPr>
          <w:rFonts w:ascii="Arial" w:hAnsi="Arial" w:cs="Arial"/>
          <w:sz w:val="20"/>
          <w:szCs w:val="20"/>
        </w:rPr>
        <w:t xml:space="preserve"> has long been studied.</w:t>
      </w:r>
      <w:r w:rsidR="00596789">
        <w:rPr>
          <w:rFonts w:ascii="Arial" w:hAnsi="Arial" w:cs="Arial"/>
          <w:sz w:val="20"/>
          <w:szCs w:val="20"/>
        </w:rPr>
        <w:t xml:space="preserve"> [5</w:t>
      </w:r>
      <w:r w:rsidR="002E3E23">
        <w:rPr>
          <w:rFonts w:ascii="Arial" w:hAnsi="Arial" w:cs="Arial"/>
          <w:sz w:val="20"/>
          <w:szCs w:val="20"/>
        </w:rPr>
        <w:t>]</w:t>
      </w:r>
    </w:p>
    <w:p w14:paraId="235B5B25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2C465E6" w14:textId="77777777" w:rsidR="00B43B03" w:rsidRDefault="002524EE" w:rsidP="00B43B0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4385D8A9" w14:textId="7EC318C6" w:rsidR="00B43B03" w:rsidRPr="00B43B03" w:rsidRDefault="00AE40AD" w:rsidP="00B43B03">
      <w:pPr>
        <w:tabs>
          <w:tab w:val="left" w:pos="360"/>
        </w:tabs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258F2DF" wp14:editId="309664FD">
            <wp:simplePos x="0" y="0"/>
            <wp:positionH relativeFrom="column">
              <wp:posOffset>3702050</wp:posOffset>
            </wp:positionH>
            <wp:positionV relativeFrom="paragraph">
              <wp:posOffset>1091565</wp:posOffset>
            </wp:positionV>
            <wp:extent cx="2885440" cy="2305050"/>
            <wp:effectExtent l="0" t="0" r="0" b="0"/>
            <wp:wrapSquare wrapText="bothSides"/>
            <wp:docPr id="4" name="Picture 4" descr="/Users/altoidnerd/Desktop/hmx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toidnerd/Desktop/hmx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B03">
        <w:rPr>
          <w:rFonts w:ascii="Arial" w:hAnsi="Arial" w:cs="Arial"/>
          <w:b/>
          <w:sz w:val="20"/>
          <w:szCs w:val="20"/>
        </w:rPr>
        <w:tab/>
      </w:r>
      <w:r w:rsidR="00A60A9C">
        <w:rPr>
          <w:rFonts w:ascii="Arial" w:hAnsi="Arial" w:cs="Arial"/>
          <w:sz w:val="20"/>
          <w:szCs w:val="20"/>
        </w:rPr>
        <w:t>All calculations are carried out using QUANTUM ESPRESSO</w:t>
      </w:r>
      <w:r w:rsidR="00C3471F">
        <w:rPr>
          <w:rFonts w:ascii="Arial" w:hAnsi="Arial" w:cs="Arial"/>
          <w:sz w:val="20"/>
          <w:szCs w:val="20"/>
        </w:rPr>
        <w:t xml:space="preserve"> software, using the PBE exchange-</w:t>
      </w:r>
      <w:r w:rsidR="00D466DD">
        <w:rPr>
          <w:rFonts w:ascii="Arial" w:hAnsi="Arial" w:cs="Arial"/>
          <w:sz w:val="20"/>
          <w:szCs w:val="20"/>
        </w:rPr>
        <w:t xml:space="preserve">correlation functional and a plane-wave basis. </w:t>
      </w:r>
      <w:r w:rsidR="00A60A9C">
        <w:rPr>
          <w:rFonts w:ascii="Arial" w:hAnsi="Arial" w:cs="Arial"/>
          <w:sz w:val="20"/>
          <w:szCs w:val="20"/>
        </w:rPr>
        <w:t>Structur</w:t>
      </w:r>
      <w:r w:rsidR="00E56E9C">
        <w:rPr>
          <w:rFonts w:ascii="Arial" w:hAnsi="Arial" w:cs="Arial"/>
          <w:sz w:val="20"/>
          <w:szCs w:val="20"/>
        </w:rPr>
        <w:t>e parameters for HMX crystal cells at eight experimental cell volumes</w:t>
      </w:r>
      <w:r w:rsidR="00596789">
        <w:rPr>
          <w:rFonts w:ascii="Arial" w:hAnsi="Arial" w:cs="Arial"/>
          <w:sz w:val="20"/>
          <w:szCs w:val="20"/>
        </w:rPr>
        <w:t xml:space="preserve"> [6</w:t>
      </w:r>
      <w:r w:rsidR="00E56E9C">
        <w:rPr>
          <w:rFonts w:ascii="Arial" w:hAnsi="Arial" w:cs="Arial"/>
          <w:sz w:val="20"/>
          <w:szCs w:val="20"/>
        </w:rPr>
        <w:t xml:space="preserve">] are relaxed and a set of </w:t>
      </w:r>
      <w:r w:rsidR="00754540">
        <w:rPr>
          <w:rFonts w:ascii="Arial" w:hAnsi="Arial" w:cs="Arial"/>
          <w:sz w:val="20"/>
          <w:szCs w:val="20"/>
        </w:rPr>
        <w:t>modified structures is</w:t>
      </w:r>
      <w:r w:rsidR="00E56E9C">
        <w:rPr>
          <w:rFonts w:ascii="Arial" w:hAnsi="Arial" w:cs="Arial"/>
          <w:sz w:val="20"/>
          <w:szCs w:val="20"/>
        </w:rPr>
        <w:t xml:space="preserve"> generated in each using NVE molecular dynamics (MD) simu</w:t>
      </w:r>
      <w:r w:rsidR="006B214B">
        <w:rPr>
          <w:rFonts w:ascii="Arial" w:hAnsi="Arial" w:cs="Arial"/>
          <w:sz w:val="20"/>
          <w:szCs w:val="20"/>
        </w:rPr>
        <w:t>-</w:t>
      </w:r>
      <w:r w:rsidR="00E56E9C">
        <w:rPr>
          <w:rFonts w:ascii="Arial" w:hAnsi="Arial" w:cs="Arial"/>
          <w:sz w:val="20"/>
          <w:szCs w:val="20"/>
        </w:rPr>
        <w:t>lations</w:t>
      </w:r>
      <w:r w:rsidR="00754540">
        <w:rPr>
          <w:rFonts w:ascii="Arial" w:hAnsi="Arial" w:cs="Arial"/>
          <w:sz w:val="20"/>
          <w:szCs w:val="20"/>
        </w:rPr>
        <w:t xml:space="preserve"> with</w:t>
      </w:r>
      <w:r w:rsidR="00E56E9C">
        <w:rPr>
          <w:rFonts w:ascii="Arial" w:hAnsi="Arial" w:cs="Arial"/>
          <w:sz w:val="20"/>
          <w:szCs w:val="20"/>
        </w:rPr>
        <w:t xml:space="preserve"> </w:t>
      </w:r>
      <w:r w:rsidR="00325D48">
        <w:rPr>
          <w:rFonts w:ascii="Arial" w:hAnsi="Arial" w:cs="Arial"/>
          <w:sz w:val="20"/>
          <w:szCs w:val="20"/>
        </w:rPr>
        <w:t>cutoff energy 6</w:t>
      </w:r>
      <w:r w:rsidR="00754540">
        <w:rPr>
          <w:rFonts w:ascii="Arial" w:hAnsi="Arial" w:cs="Arial"/>
          <w:sz w:val="20"/>
          <w:szCs w:val="20"/>
        </w:rPr>
        <w:t>0</w:t>
      </w:r>
      <w:r w:rsidR="00325D48">
        <w:rPr>
          <w:rFonts w:ascii="Arial" w:hAnsi="Arial" w:cs="Arial"/>
          <w:sz w:val="20"/>
          <w:szCs w:val="20"/>
        </w:rPr>
        <w:t xml:space="preserve"> </w:t>
      </w:r>
      <w:r w:rsidR="00754540">
        <w:rPr>
          <w:rFonts w:ascii="Arial" w:hAnsi="Arial" w:cs="Arial"/>
          <w:sz w:val="20"/>
          <w:szCs w:val="20"/>
        </w:rPr>
        <w:t>Ry, integration time</w:t>
      </w:r>
      <w:r w:rsidR="00325D48">
        <w:rPr>
          <w:rFonts w:ascii="Arial" w:hAnsi="Arial" w:cs="Arial"/>
          <w:sz w:val="20"/>
          <w:szCs w:val="20"/>
        </w:rPr>
        <w:t xml:space="preserve"> </w:t>
      </w:r>
      <w:r w:rsidR="00754540">
        <w:rPr>
          <w:rFonts w:ascii="Arial" w:hAnsi="Arial" w:cs="Arial"/>
          <w:sz w:val="20"/>
          <w:szCs w:val="20"/>
        </w:rPr>
        <w:t xml:space="preserve">step 3.87fs and </w:t>
      </w:r>
      <w:r w:rsidR="00E56E9C">
        <w:rPr>
          <w:rFonts w:ascii="Arial" w:hAnsi="Arial" w:cs="Arial"/>
          <w:sz w:val="20"/>
          <w:szCs w:val="20"/>
        </w:rPr>
        <w:t>initial kinetic energy correspond</w:t>
      </w:r>
      <w:r w:rsidR="00754540">
        <w:rPr>
          <w:rFonts w:ascii="Arial" w:hAnsi="Arial" w:cs="Arial"/>
          <w:sz w:val="20"/>
          <w:szCs w:val="20"/>
        </w:rPr>
        <w:t>ing</w:t>
      </w:r>
      <w:r w:rsidR="00E56E9C">
        <w:rPr>
          <w:rFonts w:ascii="Arial" w:hAnsi="Arial" w:cs="Arial"/>
          <w:sz w:val="20"/>
          <w:szCs w:val="20"/>
        </w:rPr>
        <w:t xml:space="preserve"> to the cell measurement temperature</w:t>
      </w:r>
      <w:r w:rsidR="00754540">
        <w:rPr>
          <w:rFonts w:ascii="Arial" w:hAnsi="Arial" w:cs="Arial"/>
          <w:sz w:val="20"/>
          <w:szCs w:val="20"/>
        </w:rPr>
        <w:t xml:space="preserve">.  The EFG tensors </w:t>
      </w:r>
      <w:r w:rsidR="00C3471F">
        <w:rPr>
          <w:rFonts w:ascii="Arial" w:hAnsi="Arial" w:cs="Arial"/>
          <w:sz w:val="20"/>
          <w:szCs w:val="20"/>
        </w:rPr>
        <w:t xml:space="preserve">at </w:t>
      </w:r>
      <w:r w:rsidR="00754540">
        <w:rPr>
          <w:rFonts w:ascii="Arial" w:hAnsi="Arial" w:cs="Arial"/>
          <w:sz w:val="20"/>
          <w:szCs w:val="20"/>
        </w:rPr>
        <w:t xml:space="preserve">all nuclear sites are computed </w:t>
      </w:r>
      <w:r w:rsidR="00325D48">
        <w:rPr>
          <w:rFonts w:ascii="Arial" w:hAnsi="Arial" w:cs="Arial"/>
          <w:sz w:val="20"/>
          <w:szCs w:val="20"/>
        </w:rPr>
        <w:t xml:space="preserve">in each structure generated by the </w:t>
      </w:r>
      <w:r w:rsidR="00754540">
        <w:rPr>
          <w:rFonts w:ascii="Arial" w:hAnsi="Arial" w:cs="Arial"/>
          <w:sz w:val="20"/>
          <w:szCs w:val="20"/>
        </w:rPr>
        <w:t xml:space="preserve">MD </w:t>
      </w:r>
      <w:r w:rsidR="00325D48">
        <w:rPr>
          <w:rFonts w:ascii="Arial" w:hAnsi="Arial" w:cs="Arial"/>
          <w:sz w:val="20"/>
          <w:szCs w:val="20"/>
        </w:rPr>
        <w:t xml:space="preserve">simulation using the GIPAW module with a cutoff energy of 80 Ry, and the </w:t>
      </w:r>
      <w:r w:rsidR="00C3471F">
        <w:rPr>
          <w:rFonts w:ascii="Arial" w:hAnsi="Arial" w:cs="Arial"/>
          <w:sz w:val="20"/>
          <w:szCs w:val="20"/>
        </w:rPr>
        <w:t xml:space="preserve">modified </w:t>
      </w:r>
      <w:r w:rsidR="00325D48">
        <w:rPr>
          <w:rFonts w:ascii="Arial" w:hAnsi="Arial" w:cs="Arial"/>
          <w:sz w:val="20"/>
          <w:szCs w:val="20"/>
        </w:rPr>
        <w:t>tensor components are found in the coordinate system determined by the principal axes the EF</w:t>
      </w:r>
      <w:r w:rsidR="00A6278A">
        <w:rPr>
          <w:rFonts w:ascii="Arial" w:hAnsi="Arial" w:cs="Arial"/>
          <w:sz w:val="20"/>
          <w:szCs w:val="20"/>
        </w:rPr>
        <w:t xml:space="preserve">G in the equilibrium structure. </w:t>
      </w:r>
    </w:p>
    <w:p w14:paraId="00D59667" w14:textId="43D126AE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CF7B115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55126EE" w14:textId="04F176A5" w:rsidR="00E25473" w:rsidRPr="00A6278A" w:rsidRDefault="00DA0C14" w:rsidP="00C3471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A318D" wp14:editId="1ECB1D54">
                <wp:simplePos x="0" y="0"/>
                <wp:positionH relativeFrom="column">
                  <wp:posOffset>3781425</wp:posOffset>
                </wp:positionH>
                <wp:positionV relativeFrom="paragraph">
                  <wp:posOffset>2051050</wp:posOffset>
                </wp:positionV>
                <wp:extent cx="286131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1427" y="21319"/>
                    <wp:lineTo x="21427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7280" w14:textId="77777777" w:rsidR="00376D2C" w:rsidRPr="00A6278A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Comparison of computed 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14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coupling constants v.s. experimental values. Axial sites </w:t>
                            </w:r>
                            <w:r w:rsidR="00584A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(upper set of curves) 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shown in black, </w:t>
                            </w:r>
                            <w:r w:rsidR="00584A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equatorial </w:t>
                            </w:r>
                            <w:r w:rsidR="00584A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sites in </w:t>
                            </w:r>
                            <w:r w:rsidR="00A62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blue. Experimental values are marked with a cross, calculated values with a circle.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A3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161.5pt;width:225.3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++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" stroked="f">
                <v:textbox>
                  <w:txbxContent>
                    <w:p w14:paraId="2DBF7280" w14:textId="77777777" w:rsidR="00376D2C" w:rsidRPr="00A6278A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Comparison of computed 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14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coupling constants </w:t>
                      </w:r>
                      <w:proofErr w:type="spellStart"/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>v.s</w:t>
                      </w:r>
                      <w:proofErr w:type="spellEnd"/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experimental values. Axial sites </w:t>
                      </w:r>
                      <w:r w:rsidR="00584A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(upper set of curves) 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shown in black, </w:t>
                      </w:r>
                      <w:r w:rsidR="00584A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equatorial </w:t>
                      </w:r>
                      <w:r w:rsidR="00584A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sites in </w:t>
                      </w:r>
                      <w:r w:rsidR="00A62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blue. Experimental values are marked with a cross, calculated values with a circle.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AE40AD">
        <w:rPr>
          <w:rFonts w:ascii="Arial" w:hAnsi="Arial" w:cs="Arial"/>
          <w:sz w:val="20"/>
          <w:szCs w:val="20"/>
        </w:rPr>
        <w:t>Figure 1 shows p</w:t>
      </w:r>
      <w:r w:rsidR="00584A92">
        <w:rPr>
          <w:rFonts w:ascii="Arial" w:hAnsi="Arial" w:cs="Arial"/>
          <w:sz w:val="20"/>
          <w:szCs w:val="20"/>
        </w:rPr>
        <w:t>reliminary results for</w:t>
      </w:r>
      <w:r w:rsidR="00A6278A">
        <w:rPr>
          <w:rFonts w:ascii="Arial" w:hAnsi="Arial" w:cs="Arial"/>
          <w:sz w:val="20"/>
          <w:szCs w:val="20"/>
        </w:rPr>
        <w:t xml:space="preserve"> </w:t>
      </w:r>
      <w:r w:rsidR="00584A92">
        <w:rPr>
          <w:rFonts w:ascii="Arial" w:hAnsi="Arial" w:cs="Arial"/>
          <w:sz w:val="20"/>
          <w:szCs w:val="20"/>
        </w:rPr>
        <w:t xml:space="preserve">computed </w:t>
      </w:r>
      <w:r w:rsidR="00A6278A">
        <w:rPr>
          <w:rFonts w:ascii="Arial" w:hAnsi="Arial" w:cs="Arial"/>
          <w:sz w:val="20"/>
          <w:szCs w:val="20"/>
        </w:rPr>
        <w:t xml:space="preserve">temperature dependent NQR frequencies for the two inequivalent </w:t>
      </w:r>
      <w:r w:rsidR="00B936D3">
        <w:rPr>
          <w:rFonts w:ascii="Arial" w:hAnsi="Arial" w:cs="Arial"/>
          <w:sz w:val="20"/>
          <w:szCs w:val="20"/>
        </w:rPr>
        <w:t xml:space="preserve">amine </w:t>
      </w:r>
      <w:r w:rsidR="00A6278A">
        <w:rPr>
          <w:rFonts w:ascii="Arial" w:hAnsi="Arial" w:cs="Arial"/>
          <w:sz w:val="20"/>
          <w:szCs w:val="20"/>
          <w:vertAlign w:val="superscript"/>
        </w:rPr>
        <w:t>14</w:t>
      </w:r>
      <w:r w:rsidR="00A6278A">
        <w:rPr>
          <w:rFonts w:ascii="Arial" w:hAnsi="Arial" w:cs="Arial"/>
          <w:sz w:val="20"/>
          <w:szCs w:val="20"/>
        </w:rPr>
        <w:t>N sites in the HMX structure. The calculations overestimate the coupling constant showing an absolute error of ~150KHz for the equatorial sites and ~100KHz for the axial sites.</w:t>
      </w:r>
      <w:r w:rsidR="00B936D3">
        <w:rPr>
          <w:rFonts w:ascii="Arial" w:hAnsi="Arial" w:cs="Arial"/>
          <w:sz w:val="20"/>
          <w:szCs w:val="20"/>
        </w:rPr>
        <w:t xml:space="preserve">  However the combined e</w:t>
      </w:r>
      <w:r w:rsidR="00A6278A">
        <w:rPr>
          <w:rFonts w:ascii="Arial" w:hAnsi="Arial" w:cs="Arial"/>
          <w:sz w:val="20"/>
          <w:szCs w:val="20"/>
        </w:rPr>
        <w:t xml:space="preserve">ffect of volume increase (which increases the computed coupling constant in the static lattice) and temperature increase (which results in a reduction of the </w:t>
      </w:r>
      <w:r w:rsidR="00584A92">
        <w:rPr>
          <w:rFonts w:ascii="Arial" w:hAnsi="Arial" w:cs="Arial"/>
          <w:sz w:val="20"/>
          <w:szCs w:val="20"/>
        </w:rPr>
        <w:t>observed</w:t>
      </w:r>
      <w:r w:rsidR="00A6278A">
        <w:rPr>
          <w:rFonts w:ascii="Arial" w:hAnsi="Arial" w:cs="Arial"/>
          <w:sz w:val="20"/>
          <w:szCs w:val="20"/>
        </w:rPr>
        <w:t xml:space="preserve"> constant)</w:t>
      </w:r>
      <w:r w:rsidR="00584A92">
        <w:rPr>
          <w:rFonts w:ascii="Arial" w:hAnsi="Arial" w:cs="Arial"/>
          <w:sz w:val="20"/>
          <w:szCs w:val="20"/>
        </w:rPr>
        <w:t xml:space="preserve"> shows the correct trend.</w:t>
      </w:r>
      <w:r>
        <w:rPr>
          <w:rFonts w:ascii="Arial" w:hAnsi="Arial" w:cs="Arial"/>
          <w:sz w:val="20"/>
          <w:szCs w:val="20"/>
        </w:rPr>
        <w:t xml:space="preserve">  Better absolute agreement may be obtained cheaply by adjusting the DFT calculation (</w:t>
      </w:r>
      <w:r w:rsidR="00AE40AD">
        <w:rPr>
          <w:rFonts w:ascii="Arial" w:hAnsi="Arial" w:cs="Arial"/>
          <w:sz w:val="20"/>
          <w:szCs w:val="20"/>
        </w:rPr>
        <w:t>e.g</w:t>
      </w:r>
      <w:r>
        <w:rPr>
          <w:rFonts w:ascii="Arial" w:hAnsi="Arial" w:cs="Arial"/>
          <w:sz w:val="20"/>
          <w:szCs w:val="20"/>
        </w:rPr>
        <w:t xml:space="preserve"> using a different XC functional) </w:t>
      </w:r>
      <w:r w:rsidR="00B936D3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the computation of the static lattice coupling constants.</w:t>
      </w:r>
      <w:r w:rsidR="00584A92">
        <w:rPr>
          <w:rFonts w:ascii="Arial" w:hAnsi="Arial" w:cs="Arial"/>
          <w:sz w:val="20"/>
          <w:szCs w:val="20"/>
        </w:rPr>
        <w:t xml:space="preserve"> The noise present in the computed values may be reduced by extending the total MD simulation time as well as averaging over various crystallographically equival</w:t>
      </w:r>
      <w:r>
        <w:rPr>
          <w:rFonts w:ascii="Arial" w:hAnsi="Arial" w:cs="Arial"/>
          <w:sz w:val="20"/>
          <w:szCs w:val="20"/>
        </w:rPr>
        <w:t xml:space="preserve">ent nitrogen sites in the cell, or by computing space fixed tensor components differently. </w:t>
      </w:r>
      <w:r w:rsidR="00584A92">
        <w:rPr>
          <w:rFonts w:ascii="Arial" w:hAnsi="Arial" w:cs="Arial"/>
          <w:sz w:val="20"/>
          <w:szCs w:val="20"/>
        </w:rPr>
        <w:t xml:space="preserve">More analysis is needed to determine the degree to which the </w:t>
      </w:r>
      <w:r>
        <w:rPr>
          <w:rFonts w:ascii="Arial" w:hAnsi="Arial" w:cs="Arial"/>
          <w:sz w:val="20"/>
          <w:szCs w:val="20"/>
        </w:rPr>
        <w:t xml:space="preserve">net </w:t>
      </w:r>
      <w:r w:rsidR="00584A92">
        <w:rPr>
          <w:rFonts w:ascii="Arial" w:hAnsi="Arial" w:cs="Arial"/>
          <w:sz w:val="20"/>
          <w:szCs w:val="20"/>
        </w:rPr>
        <w:t xml:space="preserve">temperature coefficients agree with experiment. </w:t>
      </w:r>
      <w:r>
        <w:rPr>
          <w:rFonts w:ascii="Arial" w:hAnsi="Arial" w:cs="Arial"/>
          <w:sz w:val="20"/>
          <w:szCs w:val="20"/>
        </w:rPr>
        <w:t xml:space="preserve"> </w:t>
      </w:r>
      <w:r w:rsidR="00584A92">
        <w:rPr>
          <w:rFonts w:ascii="Arial" w:hAnsi="Arial" w:cs="Arial"/>
          <w:sz w:val="20"/>
          <w:szCs w:val="20"/>
        </w:rPr>
        <w:t>This analysis is in its early stages and results may change.</w:t>
      </w:r>
    </w:p>
    <w:p w14:paraId="754F558E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F92300D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64A7283" w14:textId="77777777" w:rsidR="00C3471F" w:rsidRPr="00C3471F" w:rsidRDefault="00C3471F" w:rsidP="00C3471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3471F">
        <w:rPr>
          <w:rFonts w:ascii="Arial" w:hAnsi="Arial" w:cs="Arial"/>
          <w:sz w:val="20"/>
          <w:szCs w:val="20"/>
        </w:rPr>
        <w:t>Work supported in part by the NSF-DMR-1157490 and DOE grant DE-FG02- 02ER45995.</w:t>
      </w:r>
    </w:p>
    <w:p w14:paraId="1117D4F3" w14:textId="77777777" w:rsidR="00E25473" w:rsidRPr="00DA0C14" w:rsidRDefault="00E25473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14:paraId="5A511B1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488E64B" w14:textId="77777777" w:rsidR="00596BE6" w:rsidRPr="006B214B" w:rsidRDefault="00596BE6" w:rsidP="00AC6B66">
      <w:pPr>
        <w:rPr>
          <w:rFonts w:eastAsia="Times New Roman"/>
          <w:sz w:val="20"/>
          <w:szCs w:val="20"/>
          <w:lang w:eastAsia="en-US"/>
        </w:rPr>
      </w:pPr>
      <w:r w:rsidRPr="00AE40AD">
        <w:rPr>
          <w:rFonts w:ascii="Arial" w:hAnsi="Arial" w:cs="Arial"/>
          <w:sz w:val="18"/>
          <w:szCs w:val="18"/>
        </w:rPr>
        <w:t>[</w:t>
      </w:r>
      <w:r w:rsidRPr="006B214B">
        <w:rPr>
          <w:rFonts w:ascii="Arial" w:hAnsi="Arial" w:cs="Arial"/>
          <w:sz w:val="20"/>
          <w:szCs w:val="20"/>
        </w:rPr>
        <w:t>1]</w:t>
      </w:r>
      <w:r w:rsidR="00AC6B66" w:rsidRPr="006B214B">
        <w:rPr>
          <w:rFonts w:ascii="Arial" w:hAnsi="Arial" w:cs="Arial"/>
          <w:sz w:val="20"/>
          <w:szCs w:val="20"/>
        </w:rPr>
        <w:t xml:space="preserve"> </w:t>
      </w:r>
      <w:r w:rsidR="00AC6B66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Kushida, T, </w:t>
      </w:r>
      <w:r w:rsidR="00AC6B66" w:rsidRPr="006B214B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et. al.,</w:t>
      </w:r>
      <w:r w:rsidR="00AC6B66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C6B66" w:rsidRPr="006B214B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Physical Review</w:t>
      </w:r>
      <w:r w:rsidR="00AC6B66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="00AC6B66" w:rsidRPr="006B214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104.5</w:t>
      </w:r>
      <w:r w:rsidR="00AC6B66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1364 (1956)</w:t>
      </w:r>
    </w:p>
    <w:p w14:paraId="42F7BA24" w14:textId="77777777" w:rsidR="00AE6E09" w:rsidRPr="006B214B" w:rsidRDefault="00AE6E09" w:rsidP="00AE6E09">
      <w:pPr>
        <w:rPr>
          <w:rFonts w:eastAsia="Times New Roman"/>
          <w:sz w:val="20"/>
          <w:szCs w:val="20"/>
          <w:lang w:eastAsia="en-US"/>
        </w:rPr>
      </w:pPr>
      <w:r w:rsidRPr="006B214B">
        <w:rPr>
          <w:rFonts w:ascii="Arial" w:hAnsi="Arial" w:cs="Arial"/>
          <w:sz w:val="20"/>
          <w:szCs w:val="20"/>
        </w:rPr>
        <w:t xml:space="preserve">[2] </w:t>
      </w:r>
      <w:r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Bonhomme, C., </w:t>
      </w:r>
      <w:r w:rsidRPr="006B214B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et al.,</w:t>
      </w:r>
      <w:r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B214B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Magnetic Resonance in Chemistry</w:t>
      </w:r>
      <w:r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6B214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48.S1</w:t>
      </w:r>
      <w:r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(2010).</w:t>
      </w:r>
    </w:p>
    <w:p w14:paraId="34ACCA53" w14:textId="77777777" w:rsidR="00596BE6" w:rsidRPr="006B214B" w:rsidRDefault="00AE6E0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214B">
        <w:rPr>
          <w:rFonts w:ascii="Arial" w:hAnsi="Arial" w:cs="Arial"/>
          <w:sz w:val="20"/>
          <w:szCs w:val="20"/>
        </w:rPr>
        <w:t>[3</w:t>
      </w:r>
      <w:r w:rsidR="00596BE6" w:rsidRPr="006B214B">
        <w:rPr>
          <w:rFonts w:ascii="Arial" w:hAnsi="Arial" w:cs="Arial"/>
          <w:sz w:val="20"/>
          <w:szCs w:val="20"/>
        </w:rPr>
        <w:t>]</w:t>
      </w:r>
      <w:r w:rsidR="00CB6D4A" w:rsidRPr="006B214B">
        <w:rPr>
          <w:rFonts w:ascii="Arial" w:hAnsi="Arial" w:cs="Arial"/>
          <w:sz w:val="20"/>
          <w:szCs w:val="20"/>
        </w:rPr>
        <w:t xml:space="preserve"> Socha, O., et. al., </w:t>
      </w:r>
      <w:r w:rsidR="00CB6D4A" w:rsidRPr="006B214B">
        <w:rPr>
          <w:rFonts w:ascii="Arial" w:hAnsi="Arial" w:cs="Arial"/>
          <w:iCs/>
          <w:sz w:val="20"/>
          <w:szCs w:val="20"/>
        </w:rPr>
        <w:t>J. Phys. Chem. A</w:t>
      </w:r>
      <w:r w:rsidR="00CB6D4A" w:rsidRPr="006B214B">
        <w:rPr>
          <w:rFonts w:ascii="Arial" w:hAnsi="Arial" w:cs="Arial"/>
          <w:sz w:val="20"/>
          <w:szCs w:val="20"/>
        </w:rPr>
        <w:t>,</w:t>
      </w:r>
      <w:r w:rsidR="00CB6D4A" w:rsidRPr="006B214B">
        <w:rPr>
          <w:rFonts w:ascii="Arial" w:hAnsi="Arial" w:cs="Arial"/>
          <w:i/>
          <w:iCs/>
          <w:sz w:val="20"/>
          <w:szCs w:val="20"/>
        </w:rPr>
        <w:t xml:space="preserve"> </w:t>
      </w:r>
      <w:r w:rsidR="00CB6D4A" w:rsidRPr="006B214B">
        <w:rPr>
          <w:rFonts w:ascii="Arial" w:hAnsi="Arial" w:cs="Arial"/>
          <w:b/>
          <w:i/>
          <w:iCs/>
          <w:sz w:val="20"/>
          <w:szCs w:val="20"/>
        </w:rPr>
        <w:t>121</w:t>
      </w:r>
      <w:r w:rsidRPr="006B214B">
        <w:rPr>
          <w:rFonts w:ascii="Arial" w:hAnsi="Arial" w:cs="Arial"/>
          <w:b/>
          <w:sz w:val="20"/>
          <w:szCs w:val="20"/>
        </w:rPr>
        <w:t>.21</w:t>
      </w:r>
      <w:r w:rsidR="00CB6D4A" w:rsidRPr="006B214B">
        <w:rPr>
          <w:rFonts w:ascii="Arial" w:hAnsi="Arial" w:cs="Arial"/>
          <w:b/>
          <w:sz w:val="20"/>
          <w:szCs w:val="20"/>
        </w:rPr>
        <w:t>,</w:t>
      </w:r>
      <w:r w:rsidR="00CB6D4A" w:rsidRPr="006B214B">
        <w:rPr>
          <w:rFonts w:ascii="Arial" w:hAnsi="Arial" w:cs="Arial"/>
          <w:sz w:val="20"/>
          <w:szCs w:val="20"/>
        </w:rPr>
        <w:t xml:space="preserve"> 4103–4113 (2017)</w:t>
      </w:r>
    </w:p>
    <w:p w14:paraId="63DAA46C" w14:textId="0D2B64A4" w:rsidR="00596BE6" w:rsidRPr="006B214B" w:rsidRDefault="00B936D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214B">
        <w:rPr>
          <w:rFonts w:ascii="Arial" w:hAnsi="Arial" w:cs="Arial"/>
          <w:sz w:val="20"/>
          <w:szCs w:val="20"/>
        </w:rPr>
        <w:t>[4</w:t>
      </w:r>
      <w:r w:rsidR="00596BE6" w:rsidRPr="006B214B">
        <w:rPr>
          <w:rFonts w:ascii="Arial" w:hAnsi="Arial" w:cs="Arial"/>
          <w:sz w:val="20"/>
          <w:szCs w:val="20"/>
        </w:rPr>
        <w:t xml:space="preserve">] </w:t>
      </w:r>
      <w:r w:rsidR="003A32F7" w:rsidRPr="006B214B">
        <w:rPr>
          <w:rFonts w:ascii="Arial" w:hAnsi="Arial" w:cs="Arial"/>
          <w:sz w:val="20"/>
          <w:szCs w:val="20"/>
        </w:rPr>
        <w:t xml:space="preserve">Dumez, J-N., </w:t>
      </w:r>
      <w:r w:rsidR="003A32F7" w:rsidRPr="006B214B">
        <w:rPr>
          <w:rFonts w:ascii="Arial" w:hAnsi="Arial" w:cs="Arial"/>
          <w:i/>
          <w:sz w:val="20"/>
          <w:szCs w:val="20"/>
        </w:rPr>
        <w:t>et. al.,</w:t>
      </w:r>
      <w:r w:rsidR="003A32F7" w:rsidRPr="006B214B">
        <w:rPr>
          <w:rFonts w:ascii="Arial" w:hAnsi="Arial" w:cs="Arial"/>
          <w:sz w:val="20"/>
          <w:szCs w:val="20"/>
        </w:rPr>
        <w:t xml:space="preserve"> J. Chem. Phys, </w:t>
      </w:r>
      <w:r w:rsidR="003A32F7" w:rsidRPr="006B214B">
        <w:rPr>
          <w:rFonts w:ascii="Arial" w:hAnsi="Arial" w:cs="Arial"/>
          <w:b/>
          <w:sz w:val="20"/>
          <w:szCs w:val="20"/>
        </w:rPr>
        <w:t>130</w:t>
      </w:r>
      <w:r w:rsidR="003A32F7" w:rsidRPr="006B214B">
        <w:rPr>
          <w:rFonts w:ascii="Arial" w:hAnsi="Arial" w:cs="Arial"/>
          <w:sz w:val="20"/>
          <w:szCs w:val="20"/>
        </w:rPr>
        <w:t>, 104701 (2009)</w:t>
      </w:r>
    </w:p>
    <w:p w14:paraId="55E2AE02" w14:textId="7B935F0F" w:rsidR="00596BE6" w:rsidRPr="006B214B" w:rsidRDefault="00B936D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214B">
        <w:rPr>
          <w:rFonts w:ascii="Arial" w:hAnsi="Arial" w:cs="Arial"/>
          <w:sz w:val="20"/>
          <w:szCs w:val="20"/>
        </w:rPr>
        <w:t>[5</w:t>
      </w:r>
      <w:r w:rsidR="00596BE6" w:rsidRPr="006B214B">
        <w:rPr>
          <w:rFonts w:ascii="Arial" w:hAnsi="Arial" w:cs="Arial"/>
          <w:sz w:val="20"/>
          <w:szCs w:val="20"/>
        </w:rPr>
        <w:t xml:space="preserve">] Landers, A.G., </w:t>
      </w:r>
      <w:r w:rsidR="00596BE6" w:rsidRPr="006B214B">
        <w:rPr>
          <w:rFonts w:ascii="Arial" w:hAnsi="Arial" w:cs="Arial"/>
          <w:i/>
          <w:sz w:val="20"/>
          <w:szCs w:val="20"/>
        </w:rPr>
        <w:t>et. al.,</w:t>
      </w:r>
      <w:r w:rsidR="00596BE6" w:rsidRPr="006B214B">
        <w:rPr>
          <w:rFonts w:ascii="Arial" w:hAnsi="Arial" w:cs="Arial"/>
          <w:sz w:val="20"/>
          <w:szCs w:val="20"/>
        </w:rPr>
        <w:t xml:space="preserve"> J. Phys. Chem., </w:t>
      </w:r>
      <w:r w:rsidR="00596BE6" w:rsidRPr="006B214B">
        <w:rPr>
          <w:rFonts w:ascii="Arial" w:hAnsi="Arial" w:cs="Arial"/>
          <w:b/>
          <w:sz w:val="20"/>
          <w:szCs w:val="20"/>
        </w:rPr>
        <w:t>85</w:t>
      </w:r>
      <w:r w:rsidR="00596BE6" w:rsidRPr="006B214B">
        <w:rPr>
          <w:rFonts w:ascii="Arial" w:hAnsi="Arial" w:cs="Arial"/>
          <w:sz w:val="20"/>
          <w:szCs w:val="20"/>
        </w:rPr>
        <w:t>, 2618-2623 (1985).</w:t>
      </w:r>
      <w:r w:rsidR="004B6614" w:rsidRPr="006B214B">
        <w:rPr>
          <w:rFonts w:ascii="Arial" w:hAnsi="Arial" w:cs="Arial"/>
          <w:b/>
          <w:sz w:val="20"/>
          <w:szCs w:val="20"/>
        </w:rPr>
        <w:t xml:space="preserve"> </w:t>
      </w:r>
    </w:p>
    <w:p w14:paraId="7D0F6314" w14:textId="6F2B5011" w:rsidR="00F908F6" w:rsidRPr="006B214B" w:rsidRDefault="00B936D3" w:rsidP="006B214B">
      <w:pPr>
        <w:rPr>
          <w:rFonts w:ascii="Arial" w:hAnsi="Arial" w:cs="Arial"/>
          <w:sz w:val="20"/>
          <w:szCs w:val="20"/>
        </w:rPr>
      </w:pPr>
      <w:r w:rsidRPr="006B214B">
        <w:rPr>
          <w:rFonts w:ascii="Arial" w:hAnsi="Arial" w:cs="Arial"/>
          <w:sz w:val="20"/>
          <w:szCs w:val="20"/>
        </w:rPr>
        <w:t>[6</w:t>
      </w:r>
      <w:r w:rsidR="00572ADD" w:rsidRPr="006B214B">
        <w:rPr>
          <w:rFonts w:ascii="Arial" w:hAnsi="Arial" w:cs="Arial"/>
          <w:sz w:val="20"/>
          <w:szCs w:val="20"/>
        </w:rPr>
        <w:t xml:space="preserve">] </w:t>
      </w:r>
      <w:r w:rsidR="00572ADD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Deschamps, J. R., </w:t>
      </w:r>
      <w:r w:rsidR="00572ADD" w:rsidRPr="006B214B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et. al.,</w:t>
      </w:r>
      <w:r w:rsidR="00572ADD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72ADD" w:rsidRPr="006B214B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Journal of Chemical Crystallography</w:t>
      </w:r>
      <w:r w:rsidR="00572ADD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="00572ADD" w:rsidRPr="006B214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41.7, </w:t>
      </w:r>
      <w:r w:rsidR="00572ADD" w:rsidRPr="006B21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966-970 (2011).</w:t>
      </w:r>
    </w:p>
    <w:sectPr w:rsidR="00F908F6" w:rsidRPr="006B214B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6BEE" w14:textId="77777777" w:rsidR="00325468" w:rsidRDefault="00325468">
      <w:r>
        <w:separator/>
      </w:r>
    </w:p>
  </w:endnote>
  <w:endnote w:type="continuationSeparator" w:id="0">
    <w:p w14:paraId="3685D75C" w14:textId="77777777" w:rsidR="00325468" w:rsidRDefault="003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ED416" w14:textId="77777777" w:rsidR="00325468" w:rsidRDefault="00325468">
      <w:r>
        <w:separator/>
      </w:r>
    </w:p>
  </w:footnote>
  <w:footnote w:type="continuationSeparator" w:id="0">
    <w:p w14:paraId="056194A9" w14:textId="77777777" w:rsidR="00325468" w:rsidRDefault="0032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FE79" w14:textId="1481657F" w:rsidR="00F974C6" w:rsidRDefault="00DA0C1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109F8" wp14:editId="079FB22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C4998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010028C2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5="http://schemas.microsoft.com/office/word/2012/wordml">
          <w:pict>
            <v:shapetype w14:anchorId="6FA109F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rEJY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" stroked="f">
              <v:textbox>
                <w:txbxContent>
                  <w:p w14:paraId="3FDC4998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010028C2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0086961" wp14:editId="33E64032">
          <wp:extent cx="516255" cy="626745"/>
          <wp:effectExtent l="0" t="0" r="0" b="8255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C50EB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A6B73"/>
    <w:rsid w:val="002C7675"/>
    <w:rsid w:val="002E3E23"/>
    <w:rsid w:val="003038EE"/>
    <w:rsid w:val="00306235"/>
    <w:rsid w:val="00306550"/>
    <w:rsid w:val="00312C04"/>
    <w:rsid w:val="00325468"/>
    <w:rsid w:val="00325D48"/>
    <w:rsid w:val="00334CEB"/>
    <w:rsid w:val="003560D2"/>
    <w:rsid w:val="00363C8F"/>
    <w:rsid w:val="00376D2C"/>
    <w:rsid w:val="003822B8"/>
    <w:rsid w:val="00393065"/>
    <w:rsid w:val="003A1FF5"/>
    <w:rsid w:val="003A32F7"/>
    <w:rsid w:val="003C04E6"/>
    <w:rsid w:val="003C6493"/>
    <w:rsid w:val="003E2F8E"/>
    <w:rsid w:val="003F55A7"/>
    <w:rsid w:val="003F6E7E"/>
    <w:rsid w:val="00410D2C"/>
    <w:rsid w:val="00420894"/>
    <w:rsid w:val="0042436C"/>
    <w:rsid w:val="00450C97"/>
    <w:rsid w:val="00476331"/>
    <w:rsid w:val="00480485"/>
    <w:rsid w:val="00486FF9"/>
    <w:rsid w:val="0049187D"/>
    <w:rsid w:val="00491C5D"/>
    <w:rsid w:val="004A227C"/>
    <w:rsid w:val="004B6614"/>
    <w:rsid w:val="004F160B"/>
    <w:rsid w:val="004F709E"/>
    <w:rsid w:val="005034C0"/>
    <w:rsid w:val="00511F7E"/>
    <w:rsid w:val="005173CE"/>
    <w:rsid w:val="0053142A"/>
    <w:rsid w:val="00542B3B"/>
    <w:rsid w:val="005452B9"/>
    <w:rsid w:val="00572ADD"/>
    <w:rsid w:val="00583BC3"/>
    <w:rsid w:val="00584A92"/>
    <w:rsid w:val="00596789"/>
    <w:rsid w:val="00596BE6"/>
    <w:rsid w:val="005A04FE"/>
    <w:rsid w:val="005A1B84"/>
    <w:rsid w:val="005C4422"/>
    <w:rsid w:val="005C4667"/>
    <w:rsid w:val="005C5648"/>
    <w:rsid w:val="005C791D"/>
    <w:rsid w:val="00625028"/>
    <w:rsid w:val="00627F7D"/>
    <w:rsid w:val="006612DC"/>
    <w:rsid w:val="00672D41"/>
    <w:rsid w:val="006B214B"/>
    <w:rsid w:val="006B3824"/>
    <w:rsid w:val="006C4440"/>
    <w:rsid w:val="006D745E"/>
    <w:rsid w:val="006E2CE0"/>
    <w:rsid w:val="006E4A9F"/>
    <w:rsid w:val="007207FF"/>
    <w:rsid w:val="00731C19"/>
    <w:rsid w:val="00734E94"/>
    <w:rsid w:val="00754540"/>
    <w:rsid w:val="00764FB5"/>
    <w:rsid w:val="00771745"/>
    <w:rsid w:val="00774A49"/>
    <w:rsid w:val="007C0813"/>
    <w:rsid w:val="007D1C51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239BB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60A9C"/>
    <w:rsid w:val="00A6278A"/>
    <w:rsid w:val="00A758E6"/>
    <w:rsid w:val="00A94FC4"/>
    <w:rsid w:val="00A97CB0"/>
    <w:rsid w:val="00AB5B54"/>
    <w:rsid w:val="00AC297F"/>
    <w:rsid w:val="00AC4AFE"/>
    <w:rsid w:val="00AC6B66"/>
    <w:rsid w:val="00AD3CDD"/>
    <w:rsid w:val="00AD6D3C"/>
    <w:rsid w:val="00AE142B"/>
    <w:rsid w:val="00AE40AD"/>
    <w:rsid w:val="00AE6E09"/>
    <w:rsid w:val="00AF7C63"/>
    <w:rsid w:val="00B00CDB"/>
    <w:rsid w:val="00B25D4D"/>
    <w:rsid w:val="00B43B03"/>
    <w:rsid w:val="00B45112"/>
    <w:rsid w:val="00B5585D"/>
    <w:rsid w:val="00B71405"/>
    <w:rsid w:val="00B75DC9"/>
    <w:rsid w:val="00B936D3"/>
    <w:rsid w:val="00B938F1"/>
    <w:rsid w:val="00B94321"/>
    <w:rsid w:val="00B95FCB"/>
    <w:rsid w:val="00B96080"/>
    <w:rsid w:val="00BA00BE"/>
    <w:rsid w:val="00BA7096"/>
    <w:rsid w:val="00BD2DCB"/>
    <w:rsid w:val="00BE2257"/>
    <w:rsid w:val="00C02989"/>
    <w:rsid w:val="00C076C7"/>
    <w:rsid w:val="00C13313"/>
    <w:rsid w:val="00C3471F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6D4A"/>
    <w:rsid w:val="00CB7F7F"/>
    <w:rsid w:val="00CC5B40"/>
    <w:rsid w:val="00CE3D9A"/>
    <w:rsid w:val="00CE3F90"/>
    <w:rsid w:val="00D01F6B"/>
    <w:rsid w:val="00D0313F"/>
    <w:rsid w:val="00D07879"/>
    <w:rsid w:val="00D1756D"/>
    <w:rsid w:val="00D466DD"/>
    <w:rsid w:val="00D64FAE"/>
    <w:rsid w:val="00D65CBB"/>
    <w:rsid w:val="00D67B56"/>
    <w:rsid w:val="00D851F6"/>
    <w:rsid w:val="00DA0C14"/>
    <w:rsid w:val="00DD44E5"/>
    <w:rsid w:val="00DE3216"/>
    <w:rsid w:val="00DF5BB9"/>
    <w:rsid w:val="00E04B24"/>
    <w:rsid w:val="00E07ED9"/>
    <w:rsid w:val="00E25473"/>
    <w:rsid w:val="00E411D1"/>
    <w:rsid w:val="00E43BB4"/>
    <w:rsid w:val="00E5095B"/>
    <w:rsid w:val="00E56E9C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477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dc:description/>
  <cp:lastModifiedBy>Anke Toth</cp:lastModifiedBy>
  <cp:revision>3</cp:revision>
  <cp:lastPrinted>2017-12-12T18:35:00Z</cp:lastPrinted>
  <dcterms:created xsi:type="dcterms:W3CDTF">2018-02-02T19:18:00Z</dcterms:created>
  <dcterms:modified xsi:type="dcterms:W3CDTF">2018-04-10T18:19:00Z</dcterms:modified>
</cp:coreProperties>
</file>