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AD26A2" w:rsidP="00355737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Magnetization measurements in </w:t>
      </w:r>
      <w:r w:rsidR="00355737">
        <w:rPr>
          <w:rFonts w:ascii="Arial" w:hAnsi="Arial" w:cs="Arial"/>
          <w:b/>
        </w:rPr>
        <w:t xml:space="preserve">high pulsed magnetic fields </w:t>
      </w:r>
      <w:r>
        <w:rPr>
          <w:rFonts w:ascii="Arial" w:hAnsi="Arial" w:cs="Arial"/>
          <w:b/>
        </w:rPr>
        <w:t>to test</w:t>
      </w:r>
      <w:r w:rsidR="00355737">
        <w:rPr>
          <w:rFonts w:ascii="Arial" w:hAnsi="Arial" w:cs="Arial"/>
          <w:b/>
        </w:rPr>
        <w:t xml:space="preserve"> Ru</w:t>
      </w:r>
      <w:r w:rsidR="00355737" w:rsidRPr="00355737">
        <w:rPr>
          <w:rFonts w:ascii="Arial" w:hAnsi="Arial" w:cs="Arial"/>
          <w:b/>
          <w:vertAlign w:val="superscript"/>
        </w:rPr>
        <w:t>4+</w:t>
      </w:r>
      <w:r>
        <w:rPr>
          <w:rFonts w:ascii="Arial" w:hAnsi="Arial" w:cs="Arial"/>
          <w:b/>
        </w:rPr>
        <w:t xml:space="preserve"> ground state properties of</w:t>
      </w:r>
      <w:r w:rsidR="00355737">
        <w:rPr>
          <w:rFonts w:ascii="Arial" w:hAnsi="Arial" w:cs="Arial"/>
          <w:b/>
        </w:rPr>
        <w:t xml:space="preserve"> Sr</w:t>
      </w:r>
      <w:r w:rsidR="00355737" w:rsidRPr="00355737">
        <w:rPr>
          <w:rFonts w:ascii="Arial" w:hAnsi="Arial" w:cs="Arial"/>
          <w:b/>
          <w:vertAlign w:val="subscript"/>
        </w:rPr>
        <w:t>4</w:t>
      </w:r>
      <w:r w:rsidR="00355737">
        <w:rPr>
          <w:rFonts w:ascii="Arial" w:hAnsi="Arial" w:cs="Arial"/>
          <w:b/>
        </w:rPr>
        <w:t>Ru</w:t>
      </w:r>
      <w:r w:rsidR="00355737" w:rsidRPr="00355737">
        <w:rPr>
          <w:rFonts w:ascii="Arial" w:hAnsi="Arial" w:cs="Arial"/>
          <w:b/>
          <w:vertAlign w:val="subscript"/>
        </w:rPr>
        <w:t>3</w:t>
      </w:r>
      <w:r w:rsidR="00355737">
        <w:rPr>
          <w:rFonts w:ascii="Arial" w:hAnsi="Arial" w:cs="Arial"/>
          <w:b/>
        </w:rPr>
        <w:t>O</w:t>
      </w:r>
      <w:r w:rsidR="00355737" w:rsidRPr="00355737">
        <w:rPr>
          <w:rFonts w:ascii="Arial" w:hAnsi="Arial" w:cs="Arial"/>
          <w:b/>
          <w:vertAlign w:val="subscript"/>
        </w:rPr>
        <w:t>10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8F5771" w:rsidP="003B4D6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r w:rsidRPr="00A67BCB">
        <w:rPr>
          <w:rFonts w:ascii="Arial" w:hAnsi="Arial" w:cs="Arial"/>
          <w:sz w:val="20"/>
          <w:szCs w:val="20"/>
          <w:u w:val="single"/>
        </w:rPr>
        <w:t>Vecchione</w:t>
      </w:r>
      <w:r w:rsidR="003B4D6B" w:rsidRPr="00A67BCB">
        <w:rPr>
          <w:rFonts w:ascii="Arial" w:hAnsi="Arial" w:cs="Arial"/>
          <w:sz w:val="20"/>
          <w:szCs w:val="20"/>
          <w:u w:val="single"/>
        </w:rPr>
        <w:t xml:space="preserve">, A., </w:t>
      </w:r>
      <w:bookmarkEnd w:id="0"/>
      <w:r>
        <w:rPr>
          <w:rFonts w:ascii="Arial" w:hAnsi="Arial" w:cs="Arial"/>
          <w:sz w:val="20"/>
          <w:szCs w:val="20"/>
        </w:rPr>
        <w:t>Granata</w:t>
      </w:r>
      <w:r w:rsidR="003B4D6B">
        <w:rPr>
          <w:rFonts w:ascii="Arial" w:hAnsi="Arial" w:cs="Arial"/>
          <w:sz w:val="20"/>
          <w:szCs w:val="20"/>
        </w:rPr>
        <w:t xml:space="preserve">, V., </w:t>
      </w:r>
      <w:r>
        <w:rPr>
          <w:rFonts w:ascii="Arial" w:hAnsi="Arial" w:cs="Arial"/>
          <w:sz w:val="20"/>
          <w:szCs w:val="20"/>
        </w:rPr>
        <w:t>Fittipaldi</w:t>
      </w:r>
      <w:r w:rsidR="003B4D6B">
        <w:rPr>
          <w:rFonts w:ascii="Arial" w:hAnsi="Arial" w:cs="Arial"/>
          <w:sz w:val="20"/>
          <w:szCs w:val="20"/>
        </w:rPr>
        <w:t>, R.</w:t>
      </w:r>
      <w:r>
        <w:rPr>
          <w:rFonts w:ascii="Arial" w:hAnsi="Arial" w:cs="Arial"/>
          <w:sz w:val="20"/>
          <w:szCs w:val="20"/>
        </w:rPr>
        <w:t xml:space="preserve"> (Univ. of Salerno, Italy)</w:t>
      </w:r>
      <w:r w:rsidR="003B4D6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Salamon</w:t>
      </w:r>
      <w:r w:rsidR="003B4D6B">
        <w:rPr>
          <w:rFonts w:ascii="Arial" w:hAnsi="Arial" w:cs="Arial"/>
          <w:sz w:val="20"/>
          <w:szCs w:val="20"/>
        </w:rPr>
        <w:t>, M.B.</w:t>
      </w:r>
      <w:r>
        <w:rPr>
          <w:rFonts w:ascii="Arial" w:hAnsi="Arial" w:cs="Arial"/>
          <w:sz w:val="20"/>
          <w:szCs w:val="20"/>
        </w:rPr>
        <w:t xml:space="preserve"> (University of Texas at Dallas)</w:t>
      </w:r>
      <w:r w:rsidR="003B4D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Civale</w:t>
      </w:r>
      <w:r w:rsidR="003B4D6B">
        <w:rPr>
          <w:rFonts w:ascii="Arial" w:hAnsi="Arial" w:cs="Arial"/>
          <w:sz w:val="20"/>
          <w:szCs w:val="20"/>
        </w:rPr>
        <w:t>, L.</w:t>
      </w:r>
      <w:r>
        <w:rPr>
          <w:rFonts w:ascii="Arial" w:hAnsi="Arial" w:cs="Arial"/>
          <w:sz w:val="20"/>
          <w:szCs w:val="20"/>
        </w:rPr>
        <w:t xml:space="preserve"> (</w:t>
      </w:r>
      <w:r w:rsidR="00A352DC">
        <w:rPr>
          <w:rFonts w:ascii="Arial" w:hAnsi="Arial" w:cs="Arial"/>
          <w:sz w:val="20"/>
          <w:szCs w:val="20"/>
        </w:rPr>
        <w:t xml:space="preserve">MPA-CMMS, </w:t>
      </w:r>
      <w:r>
        <w:rPr>
          <w:rFonts w:ascii="Arial" w:hAnsi="Arial" w:cs="Arial"/>
          <w:sz w:val="20"/>
          <w:szCs w:val="20"/>
        </w:rPr>
        <w:t>LANL)</w:t>
      </w:r>
      <w:r w:rsidR="003B4D6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Jaime</w:t>
      </w:r>
      <w:r w:rsidR="003B4D6B">
        <w:rPr>
          <w:rFonts w:ascii="Arial" w:hAnsi="Arial" w:cs="Arial"/>
          <w:sz w:val="20"/>
          <w:szCs w:val="20"/>
        </w:rPr>
        <w:t>, M.</w:t>
      </w:r>
      <w:r>
        <w:rPr>
          <w:rFonts w:ascii="Arial" w:hAnsi="Arial" w:cs="Arial"/>
          <w:sz w:val="20"/>
          <w:szCs w:val="20"/>
        </w:rPr>
        <w:t xml:space="preserve"> (NHMFL, LANL)</w:t>
      </w:r>
      <w:r w:rsidR="003B4D6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Weickert</w:t>
      </w:r>
      <w:r w:rsidR="003B4D6B">
        <w:rPr>
          <w:rFonts w:ascii="Arial" w:hAnsi="Arial" w:cs="Arial"/>
          <w:sz w:val="20"/>
          <w:szCs w:val="20"/>
        </w:rPr>
        <w:t>, F.</w:t>
      </w:r>
      <w:r>
        <w:rPr>
          <w:rFonts w:ascii="Arial" w:hAnsi="Arial" w:cs="Arial"/>
          <w:sz w:val="20"/>
          <w:szCs w:val="20"/>
        </w:rPr>
        <w:t xml:space="preserve"> (NHMFL, Florida State University)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67530" w:rsidRDefault="003B4D6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96E4E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7456" behindDoc="1" locked="0" layoutInCell="1" allowOverlap="1" wp14:anchorId="5E4FF9AE" wp14:editId="3D2A6C04">
            <wp:simplePos x="0" y="0"/>
            <wp:positionH relativeFrom="margin">
              <wp:posOffset>4605655</wp:posOffset>
            </wp:positionH>
            <wp:positionV relativeFrom="paragraph">
              <wp:posOffset>13970</wp:posOffset>
            </wp:positionV>
            <wp:extent cx="219265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394" y="21285"/>
                <wp:lineTo x="21394" y="0"/>
                <wp:lineTo x="0" y="0"/>
              </wp:wrapPolygon>
            </wp:wrapTight>
            <wp:docPr id="5" name="Picture 5" descr="C:\Data\measurements\LANL\NHMFL\short_pulse\Magnetization\Sr4Ru3O10\pdf\MvsH_T0p6K_Hlla_plusMy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measurements\LANL\NHMFL\short_pulse\Magnetization\Sr4Ru3O10\pdf\MvsH_T0p6K_Hlla_plusMy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530" w:rsidRPr="00767530">
        <w:rPr>
          <w:rFonts w:ascii="Arial" w:hAnsi="Arial" w:cs="Arial"/>
          <w:b/>
          <w:sz w:val="20"/>
          <w:szCs w:val="20"/>
        </w:rPr>
        <w:t>Introduction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80441F">
        <w:rPr>
          <w:rFonts w:ascii="Arial" w:hAnsi="Arial" w:cs="Arial"/>
          <w:sz w:val="20"/>
          <w:szCs w:val="20"/>
        </w:rPr>
        <w:t>Sr</w:t>
      </w:r>
      <w:r w:rsidR="0080441F" w:rsidRPr="00767530">
        <w:rPr>
          <w:rFonts w:ascii="Arial" w:hAnsi="Arial" w:cs="Arial"/>
          <w:sz w:val="20"/>
          <w:szCs w:val="20"/>
          <w:vertAlign w:val="subscript"/>
        </w:rPr>
        <w:t>4</w:t>
      </w:r>
      <w:r w:rsidR="0080441F">
        <w:rPr>
          <w:rFonts w:ascii="Arial" w:hAnsi="Arial" w:cs="Arial"/>
          <w:sz w:val="20"/>
          <w:szCs w:val="20"/>
        </w:rPr>
        <w:t>Ru</w:t>
      </w:r>
      <w:r w:rsidR="0080441F" w:rsidRPr="00767530">
        <w:rPr>
          <w:rFonts w:ascii="Arial" w:hAnsi="Arial" w:cs="Arial"/>
          <w:sz w:val="20"/>
          <w:szCs w:val="20"/>
          <w:vertAlign w:val="subscript"/>
        </w:rPr>
        <w:t>3</w:t>
      </w:r>
      <w:r w:rsidR="0080441F">
        <w:rPr>
          <w:rFonts w:ascii="Arial" w:hAnsi="Arial" w:cs="Arial"/>
          <w:sz w:val="20"/>
          <w:szCs w:val="20"/>
        </w:rPr>
        <w:t>O</w:t>
      </w:r>
      <w:r w:rsidR="0080441F" w:rsidRPr="00767530">
        <w:rPr>
          <w:rFonts w:ascii="Arial" w:hAnsi="Arial" w:cs="Arial"/>
          <w:sz w:val="20"/>
          <w:szCs w:val="20"/>
          <w:vertAlign w:val="subscript"/>
        </w:rPr>
        <w:t>10</w:t>
      </w:r>
      <w:r w:rsidR="0080441F">
        <w:rPr>
          <w:rFonts w:ascii="Arial" w:hAnsi="Arial" w:cs="Arial"/>
          <w:sz w:val="20"/>
          <w:szCs w:val="20"/>
        </w:rPr>
        <w:t xml:space="preserve"> is a 105K easy c-axis ferromagnet, which caught much attention due to its metamagnetic transition occurring inside the ferromagnetic state </w:t>
      </w:r>
      <w:r w:rsidR="00767530">
        <w:rPr>
          <w:rFonts w:ascii="Arial" w:hAnsi="Arial" w:cs="Arial"/>
          <w:sz w:val="20"/>
          <w:szCs w:val="20"/>
        </w:rPr>
        <w:t>below</w:t>
      </w:r>
      <w:r w:rsidR="008F5771">
        <w:rPr>
          <w:rFonts w:ascii="Arial" w:hAnsi="Arial" w:cs="Arial"/>
          <w:sz w:val="20"/>
          <w:szCs w:val="20"/>
        </w:rPr>
        <w:t xml:space="preserve"> 80T</w:t>
      </w:r>
      <w:r w:rsidR="005E7C4A">
        <w:rPr>
          <w:rFonts w:ascii="Arial" w:hAnsi="Arial" w:cs="Arial"/>
          <w:sz w:val="20"/>
          <w:szCs w:val="20"/>
        </w:rPr>
        <w:t xml:space="preserve"> </w:t>
      </w:r>
      <w:r w:rsidR="00767530">
        <w:rPr>
          <w:rFonts w:ascii="Arial" w:hAnsi="Arial" w:cs="Arial"/>
          <w:sz w:val="20"/>
          <w:szCs w:val="20"/>
        </w:rPr>
        <w:t>by applying a</w:t>
      </w:r>
      <w:r w:rsidR="0080441F">
        <w:rPr>
          <w:rFonts w:ascii="Arial" w:hAnsi="Arial" w:cs="Arial"/>
          <w:sz w:val="20"/>
          <w:szCs w:val="20"/>
        </w:rPr>
        <w:t xml:space="preserve"> magnetic field in the </w:t>
      </w:r>
      <w:r w:rsidR="0080441F" w:rsidRPr="00767530">
        <w:rPr>
          <w:rFonts w:ascii="Arial" w:hAnsi="Arial" w:cs="Arial"/>
          <w:i/>
          <w:sz w:val="20"/>
          <w:szCs w:val="20"/>
        </w:rPr>
        <w:t>ab</w:t>
      </w:r>
      <w:r w:rsidR="0080441F">
        <w:rPr>
          <w:rFonts w:ascii="Arial" w:hAnsi="Arial" w:cs="Arial"/>
          <w:sz w:val="20"/>
          <w:szCs w:val="20"/>
        </w:rPr>
        <w:t>-plane</w:t>
      </w:r>
      <w:r w:rsidR="00AE3B38">
        <w:rPr>
          <w:rFonts w:ascii="Arial" w:hAnsi="Arial" w:cs="Arial"/>
          <w:sz w:val="20"/>
          <w:szCs w:val="20"/>
        </w:rPr>
        <w:t xml:space="preserve"> [1,2]</w:t>
      </w:r>
      <w:r w:rsidR="0080441F">
        <w:rPr>
          <w:rFonts w:ascii="Arial" w:hAnsi="Arial" w:cs="Arial"/>
          <w:sz w:val="20"/>
          <w:szCs w:val="20"/>
        </w:rPr>
        <w:t>.</w:t>
      </w:r>
      <w:r w:rsidR="00A352DC">
        <w:rPr>
          <w:rFonts w:ascii="Arial" w:hAnsi="Arial" w:cs="Arial"/>
          <w:sz w:val="20"/>
          <w:szCs w:val="20"/>
        </w:rPr>
        <w:t xml:space="preserve"> C</w:t>
      </w:r>
      <w:r w:rsidR="008F5771">
        <w:rPr>
          <w:rFonts w:ascii="Arial" w:hAnsi="Arial" w:cs="Arial"/>
          <w:sz w:val="20"/>
          <w:szCs w:val="20"/>
        </w:rPr>
        <w:t>urrently, t</w:t>
      </w:r>
      <w:r w:rsidR="0080441F">
        <w:rPr>
          <w:rFonts w:ascii="Arial" w:hAnsi="Arial" w:cs="Arial"/>
          <w:sz w:val="20"/>
          <w:szCs w:val="20"/>
        </w:rPr>
        <w:t>he origin</w:t>
      </w:r>
      <w:r w:rsidR="00767530">
        <w:rPr>
          <w:rFonts w:ascii="Arial" w:hAnsi="Arial" w:cs="Arial"/>
          <w:sz w:val="20"/>
          <w:szCs w:val="20"/>
        </w:rPr>
        <w:t xml:space="preserve"> of this sudden increase in the magnetization accompanied by a reduction of the overall magnetic moment</w:t>
      </w:r>
      <w:r w:rsidR="005E7C4A">
        <w:rPr>
          <w:rFonts w:ascii="Arial" w:hAnsi="Arial" w:cs="Arial"/>
          <w:sz w:val="20"/>
          <w:szCs w:val="20"/>
        </w:rPr>
        <w:t xml:space="preserve"> is </w:t>
      </w:r>
      <w:r w:rsidR="008F5771">
        <w:rPr>
          <w:rFonts w:ascii="Arial" w:hAnsi="Arial" w:cs="Arial"/>
          <w:sz w:val="20"/>
          <w:szCs w:val="20"/>
        </w:rPr>
        <w:t xml:space="preserve">not understood and </w:t>
      </w:r>
      <w:r w:rsidR="0080441F">
        <w:rPr>
          <w:rFonts w:ascii="Arial" w:hAnsi="Arial" w:cs="Arial"/>
          <w:sz w:val="20"/>
          <w:szCs w:val="20"/>
        </w:rPr>
        <w:t xml:space="preserve">debated </w:t>
      </w:r>
      <w:r w:rsidR="008F5771">
        <w:rPr>
          <w:rFonts w:ascii="Arial" w:hAnsi="Arial" w:cs="Arial"/>
          <w:sz w:val="20"/>
          <w:szCs w:val="20"/>
        </w:rPr>
        <w:t>under the</w:t>
      </w:r>
      <w:r w:rsidR="0080441F">
        <w:rPr>
          <w:rFonts w:ascii="Arial" w:hAnsi="Arial" w:cs="Arial"/>
          <w:sz w:val="20"/>
          <w:szCs w:val="20"/>
        </w:rPr>
        <w:t xml:space="preserve"> itinerant</w:t>
      </w:r>
      <w:r w:rsidR="008F5771">
        <w:rPr>
          <w:rFonts w:ascii="Arial" w:hAnsi="Arial" w:cs="Arial"/>
          <w:sz w:val="20"/>
          <w:szCs w:val="20"/>
        </w:rPr>
        <w:t xml:space="preserve"> as well as</w:t>
      </w:r>
      <w:r w:rsidR="005E7C4A">
        <w:rPr>
          <w:rFonts w:ascii="Arial" w:hAnsi="Arial" w:cs="Arial"/>
          <w:sz w:val="20"/>
          <w:szCs w:val="20"/>
        </w:rPr>
        <w:t xml:space="preserve"> localized</w:t>
      </w:r>
      <w:r w:rsidR="0080441F">
        <w:rPr>
          <w:rFonts w:ascii="Arial" w:hAnsi="Arial" w:cs="Arial"/>
          <w:sz w:val="20"/>
          <w:szCs w:val="20"/>
        </w:rPr>
        <w:t xml:space="preserve"> </w:t>
      </w:r>
      <w:r w:rsidR="008F5771">
        <w:rPr>
          <w:rFonts w:ascii="Arial" w:hAnsi="Arial" w:cs="Arial"/>
          <w:sz w:val="20"/>
          <w:szCs w:val="20"/>
        </w:rPr>
        <w:t>picture</w:t>
      </w:r>
      <w:r w:rsidR="0080441F">
        <w:rPr>
          <w:rFonts w:ascii="Arial" w:hAnsi="Arial" w:cs="Arial"/>
          <w:sz w:val="20"/>
          <w:szCs w:val="20"/>
        </w:rPr>
        <w:t xml:space="preserve"> </w:t>
      </w:r>
      <w:r w:rsidR="008F5771">
        <w:rPr>
          <w:rFonts w:ascii="Arial" w:hAnsi="Arial" w:cs="Arial"/>
          <w:sz w:val="20"/>
          <w:szCs w:val="20"/>
        </w:rPr>
        <w:t>of</w:t>
      </w:r>
      <w:r w:rsidR="00A352DC">
        <w:rPr>
          <w:rFonts w:ascii="Arial" w:hAnsi="Arial" w:cs="Arial"/>
          <w:sz w:val="20"/>
          <w:szCs w:val="20"/>
        </w:rPr>
        <w:t xml:space="preserve"> magnetic</w:t>
      </w:r>
      <w:r w:rsidR="008F5771">
        <w:rPr>
          <w:rFonts w:ascii="Arial" w:hAnsi="Arial" w:cs="Arial"/>
          <w:sz w:val="20"/>
          <w:szCs w:val="20"/>
        </w:rPr>
        <w:t xml:space="preserve"> Ru</w:t>
      </w:r>
      <w:r w:rsidR="00A352DC" w:rsidRPr="00767530">
        <w:rPr>
          <w:rFonts w:ascii="Arial" w:hAnsi="Arial" w:cs="Arial"/>
          <w:sz w:val="20"/>
          <w:szCs w:val="20"/>
          <w:vertAlign w:val="superscript"/>
        </w:rPr>
        <w:t>4+</w:t>
      </w:r>
      <w:r w:rsidR="008F5771">
        <w:rPr>
          <w:rFonts w:ascii="Arial" w:hAnsi="Arial" w:cs="Arial"/>
          <w:sz w:val="20"/>
          <w:szCs w:val="20"/>
        </w:rPr>
        <w:t xml:space="preserve"> spins</w:t>
      </w:r>
      <w:r w:rsidR="00767530">
        <w:rPr>
          <w:rFonts w:ascii="Arial" w:hAnsi="Arial" w:cs="Arial"/>
          <w:sz w:val="20"/>
          <w:szCs w:val="20"/>
        </w:rPr>
        <w:t>.</w:t>
      </w:r>
    </w:p>
    <w:p w:rsidR="00767530" w:rsidRDefault="003B4D6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9250BB" wp14:editId="5C300906">
                <wp:simplePos x="0" y="0"/>
                <wp:positionH relativeFrom="margin">
                  <wp:posOffset>4653280</wp:posOffset>
                </wp:positionH>
                <wp:positionV relativeFrom="page">
                  <wp:posOffset>3633470</wp:posOffset>
                </wp:positionV>
                <wp:extent cx="2199640" cy="1076960"/>
                <wp:effectExtent l="0" t="0" r="0" b="8890"/>
                <wp:wrapTight wrapText="bothSides">
                  <wp:wrapPolygon edited="0">
                    <wp:start x="0" y="0"/>
                    <wp:lineTo x="0" y="21396"/>
                    <wp:lineTo x="21326" y="21396"/>
                    <wp:lineTo x="2132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076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333A" w:rsidRPr="003B4D6B" w:rsidRDefault="0001333A" w:rsidP="0001333A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</w:pPr>
                            <w:r w:rsidRPr="003B4D6B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 xml:space="preserve">Fig. </w:t>
                            </w:r>
                            <w:r w:rsidRPr="003B4D6B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fldChar w:fldCharType="begin"/>
                            </w:r>
                            <w:r w:rsidRPr="003B4D6B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3B4D6B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fldChar w:fldCharType="separate"/>
                            </w:r>
                            <w:r w:rsidRPr="003B4D6B">
                              <w:rPr>
                                <w:rFonts w:ascii="Arial" w:hAnsi="Arial" w:cs="Arial"/>
                                <w:i/>
                                <w:noProof/>
                                <w:color w:val="auto"/>
                              </w:rPr>
                              <w:t>1</w:t>
                            </w:r>
                            <w:r w:rsidRPr="003B4D6B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fldChar w:fldCharType="end"/>
                            </w:r>
                            <w:r w:rsidRPr="003B4D6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Mag</w:t>
                            </w:r>
                            <w:r w:rsidR="00AE3B38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netization measurements up to 64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T of Sr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4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Ru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3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O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10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for fields applied H ll a compared with H ll c data obtained in a SQUID magnetometer in low fields</w:t>
                            </w:r>
                            <w:r w:rsidR="001F395C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[2]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. The magnetization does not saturate up to 65T and follows the prediction of a model</w:t>
                            </w:r>
                            <w:r w:rsidR="001F395C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(green star symbols)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based on magnetic easy axis anisotropy and DM interactions.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.4pt;margin-top:286.1pt;width:173.2pt;height:84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" stroked="f">
                <v:textbox inset="0,0,0,0">
                  <w:txbxContent>
                    <w:p w:rsidR="0001333A" w:rsidRPr="003B4D6B" w:rsidRDefault="0001333A" w:rsidP="0001333A">
                      <w:pPr>
                        <w:pStyle w:val="Caption"/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</w:pPr>
                      <w:r w:rsidRPr="003B4D6B">
                        <w:rPr>
                          <w:rFonts w:ascii="Arial" w:hAnsi="Arial" w:cs="Arial"/>
                          <w:i/>
                          <w:color w:val="auto"/>
                        </w:rPr>
                        <w:t xml:space="preserve">Fig. </w:t>
                      </w:r>
                      <w:r w:rsidRPr="003B4D6B">
                        <w:rPr>
                          <w:rFonts w:ascii="Arial" w:hAnsi="Arial" w:cs="Arial"/>
                          <w:i/>
                          <w:color w:val="auto"/>
                        </w:rPr>
                        <w:fldChar w:fldCharType="begin"/>
                      </w:r>
                      <w:r w:rsidRPr="003B4D6B">
                        <w:rPr>
                          <w:rFonts w:ascii="Arial" w:hAnsi="Arial" w:cs="Arial"/>
                          <w:i/>
                          <w:color w:val="auto"/>
                        </w:rPr>
                        <w:instrText xml:space="preserve"> SEQ Figure \* ARABIC </w:instrText>
                      </w:r>
                      <w:r w:rsidRPr="003B4D6B">
                        <w:rPr>
                          <w:rFonts w:ascii="Arial" w:hAnsi="Arial" w:cs="Arial"/>
                          <w:i/>
                          <w:color w:val="auto"/>
                        </w:rPr>
                        <w:fldChar w:fldCharType="separate"/>
                      </w:r>
                      <w:r w:rsidRPr="003B4D6B">
                        <w:rPr>
                          <w:rFonts w:ascii="Arial" w:hAnsi="Arial" w:cs="Arial"/>
                          <w:i/>
                          <w:noProof/>
                          <w:color w:val="auto"/>
                        </w:rPr>
                        <w:t>1</w:t>
                      </w:r>
                      <w:r w:rsidRPr="003B4D6B">
                        <w:rPr>
                          <w:rFonts w:ascii="Arial" w:hAnsi="Arial" w:cs="Arial"/>
                          <w:i/>
                          <w:color w:val="auto"/>
                        </w:rPr>
                        <w:fldChar w:fldCharType="end"/>
                      </w:r>
                      <w:r w:rsidRPr="003B4D6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Mag</w:t>
                      </w:r>
                      <w:r w:rsidR="00AE3B38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netization measurements up to 64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T of Sr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4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Ru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3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O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10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for fields applied H ll a compared with H ll c data obtained in a SQUID magnetometer in low fields</w:t>
                      </w:r>
                      <w:r w:rsidR="001F395C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[2]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. The magnetization does not saturate up to 65T and follows the prediction of a model</w:t>
                      </w:r>
                      <w:r w:rsidR="001F395C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(green star symbols)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based on magnetic easy axis anisotropy and DM interactions.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67530" w:rsidRPr="00767530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5E7C4A">
        <w:rPr>
          <w:rFonts w:ascii="Arial" w:hAnsi="Arial" w:cs="Arial"/>
          <w:sz w:val="20"/>
          <w:szCs w:val="20"/>
        </w:rPr>
        <w:t>We measured magnetization on oriented single crystals at the NHMFL-PFF, Los Alamos in one of the capacitor-driven short pulse magnets up to 64T magnetic field and in the temperature range</w:t>
      </w:r>
      <w:r w:rsidR="008F5771">
        <w:rPr>
          <w:rFonts w:ascii="Arial" w:hAnsi="Arial" w:cs="Arial"/>
          <w:sz w:val="20"/>
          <w:szCs w:val="20"/>
        </w:rPr>
        <w:t xml:space="preserve"> between 4</w:t>
      </w:r>
      <w:r w:rsidR="005E7C4A">
        <w:rPr>
          <w:rFonts w:ascii="Arial" w:hAnsi="Arial" w:cs="Arial"/>
          <w:sz w:val="20"/>
          <w:szCs w:val="20"/>
        </w:rPr>
        <w:t>K and 0.6K</w:t>
      </w:r>
      <w:r w:rsidR="008F5771">
        <w:rPr>
          <w:rFonts w:ascii="Arial" w:hAnsi="Arial" w:cs="Arial"/>
          <w:sz w:val="20"/>
          <w:szCs w:val="20"/>
        </w:rPr>
        <w:t xml:space="preserve"> with </w:t>
      </w:r>
      <w:r w:rsidR="00A352DC">
        <w:rPr>
          <w:rFonts w:ascii="Arial" w:hAnsi="Arial" w:cs="Arial"/>
          <w:sz w:val="20"/>
          <w:szCs w:val="20"/>
        </w:rPr>
        <w:t>a</w:t>
      </w:r>
      <w:r w:rsidR="008F5771">
        <w:rPr>
          <w:rFonts w:ascii="Arial" w:hAnsi="Arial" w:cs="Arial"/>
          <w:sz w:val="20"/>
          <w:szCs w:val="20"/>
        </w:rPr>
        <w:t xml:space="preserve"> standard</w:t>
      </w:r>
      <w:r w:rsidR="005E7C4A">
        <w:rPr>
          <w:rFonts w:ascii="Arial" w:hAnsi="Arial" w:cs="Arial"/>
          <w:sz w:val="20"/>
          <w:szCs w:val="20"/>
        </w:rPr>
        <w:t xml:space="preserve"> extraction magnetometer. </w:t>
      </w:r>
      <w:r w:rsidR="008F5771">
        <w:rPr>
          <w:rFonts w:ascii="Arial" w:hAnsi="Arial" w:cs="Arial"/>
          <w:sz w:val="20"/>
          <w:szCs w:val="20"/>
        </w:rPr>
        <w:t xml:space="preserve">The goal was to take our </w:t>
      </w:r>
      <w:r w:rsidR="00A352DC">
        <w:rPr>
          <w:rFonts w:ascii="Arial" w:hAnsi="Arial" w:cs="Arial"/>
          <w:sz w:val="20"/>
          <w:szCs w:val="20"/>
        </w:rPr>
        <w:t xml:space="preserve">previous </w:t>
      </w:r>
      <w:r w:rsidR="008F5771">
        <w:rPr>
          <w:rFonts w:ascii="Arial" w:hAnsi="Arial" w:cs="Arial"/>
          <w:sz w:val="20"/>
          <w:szCs w:val="20"/>
        </w:rPr>
        <w:t>low field study to higher fi</w:t>
      </w:r>
      <w:r w:rsidR="00A352DC">
        <w:rPr>
          <w:rFonts w:ascii="Arial" w:hAnsi="Arial" w:cs="Arial"/>
          <w:sz w:val="20"/>
          <w:szCs w:val="20"/>
        </w:rPr>
        <w:t>elds and learn more about the Dzyaloshinskii-Moriya (DM)</w:t>
      </w:r>
      <w:r w:rsidR="008F5771">
        <w:rPr>
          <w:rFonts w:ascii="Arial" w:hAnsi="Arial" w:cs="Arial"/>
          <w:sz w:val="20"/>
          <w:szCs w:val="20"/>
        </w:rPr>
        <w:t xml:space="preserve"> interaction that described quite nicely the behavior of the magnetization up to 7T</w:t>
      </w:r>
      <w:r w:rsidR="00A352DC">
        <w:rPr>
          <w:rFonts w:ascii="Arial" w:hAnsi="Arial" w:cs="Arial"/>
          <w:sz w:val="20"/>
          <w:szCs w:val="20"/>
        </w:rPr>
        <w:t xml:space="preserve"> [2]</w:t>
      </w:r>
      <w:r w:rsidR="008F5771">
        <w:rPr>
          <w:rFonts w:ascii="Arial" w:hAnsi="Arial" w:cs="Arial"/>
          <w:sz w:val="20"/>
          <w:szCs w:val="20"/>
        </w:rPr>
        <w:t>. We furthermore, wanted to test</w:t>
      </w:r>
      <w:r w:rsidR="00A352DC">
        <w:rPr>
          <w:rFonts w:ascii="Arial" w:hAnsi="Arial" w:cs="Arial"/>
          <w:sz w:val="20"/>
          <w:szCs w:val="20"/>
        </w:rPr>
        <w:t xml:space="preserve"> if magnetic </w:t>
      </w:r>
      <w:r w:rsidR="00767530">
        <w:rPr>
          <w:rFonts w:ascii="Arial" w:hAnsi="Arial" w:cs="Arial"/>
          <w:sz w:val="20"/>
          <w:szCs w:val="20"/>
        </w:rPr>
        <w:t>fields up to 64</w:t>
      </w:r>
      <w:r w:rsidR="00A352DC">
        <w:rPr>
          <w:rFonts w:ascii="Arial" w:hAnsi="Arial" w:cs="Arial"/>
          <w:sz w:val="20"/>
          <w:szCs w:val="20"/>
        </w:rPr>
        <w:t xml:space="preserve">T are able to alter the energy scheme of the </w:t>
      </w:r>
      <w:r w:rsidR="00A352DC" w:rsidRPr="00767530">
        <w:rPr>
          <w:rFonts w:ascii="Arial" w:hAnsi="Arial" w:cs="Arial"/>
          <w:i/>
          <w:sz w:val="20"/>
          <w:szCs w:val="20"/>
        </w:rPr>
        <w:t>t</w:t>
      </w:r>
      <w:r w:rsidR="00A352DC" w:rsidRPr="00767530">
        <w:rPr>
          <w:rFonts w:ascii="Arial" w:hAnsi="Arial" w:cs="Arial"/>
          <w:i/>
          <w:sz w:val="20"/>
          <w:szCs w:val="20"/>
          <w:vertAlign w:val="subscript"/>
        </w:rPr>
        <w:t>2g</w:t>
      </w:r>
      <w:r w:rsidR="00A352DC">
        <w:rPr>
          <w:rFonts w:ascii="Arial" w:hAnsi="Arial" w:cs="Arial"/>
          <w:sz w:val="20"/>
          <w:szCs w:val="20"/>
        </w:rPr>
        <w:t xml:space="preserve"> ground state of the Ru</w:t>
      </w:r>
      <w:r w:rsidR="00A352DC" w:rsidRPr="00767530">
        <w:rPr>
          <w:rFonts w:ascii="Arial" w:hAnsi="Arial" w:cs="Arial"/>
          <w:sz w:val="20"/>
          <w:szCs w:val="20"/>
          <w:vertAlign w:val="superscript"/>
        </w:rPr>
        <w:t>4+</w:t>
      </w:r>
      <w:r w:rsidR="00A352DC">
        <w:rPr>
          <w:rFonts w:ascii="Arial" w:hAnsi="Arial" w:cs="Arial"/>
          <w:sz w:val="20"/>
          <w:szCs w:val="20"/>
        </w:rPr>
        <w:t xml:space="preserve"> 4</w:t>
      </w:r>
      <w:r w:rsidR="00A352DC" w:rsidRPr="00767530">
        <w:rPr>
          <w:rFonts w:ascii="Arial" w:hAnsi="Arial" w:cs="Arial"/>
          <w:i/>
          <w:sz w:val="20"/>
          <w:szCs w:val="20"/>
        </w:rPr>
        <w:t>d</w:t>
      </w:r>
      <w:r w:rsidR="00A352DC">
        <w:rPr>
          <w:rFonts w:ascii="Arial" w:hAnsi="Arial" w:cs="Arial"/>
          <w:sz w:val="20"/>
          <w:szCs w:val="20"/>
        </w:rPr>
        <w:t>-</w:t>
      </w:r>
      <w:r w:rsidR="00767530">
        <w:rPr>
          <w:rFonts w:ascii="Arial" w:hAnsi="Arial" w:cs="Arial"/>
          <w:sz w:val="20"/>
          <w:szCs w:val="20"/>
        </w:rPr>
        <w:t>orbitals.</w:t>
      </w:r>
    </w:p>
    <w:p w:rsidR="005E7C4A" w:rsidRDefault="003B4D6B" w:rsidP="005E7C4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96E4E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6432" behindDoc="1" locked="0" layoutInCell="1" allowOverlap="1" wp14:anchorId="6E2AF646" wp14:editId="0136DD6F">
            <wp:simplePos x="0" y="0"/>
            <wp:positionH relativeFrom="column">
              <wp:posOffset>4763770</wp:posOffset>
            </wp:positionH>
            <wp:positionV relativeFrom="paragraph">
              <wp:posOffset>867410</wp:posOffset>
            </wp:positionV>
            <wp:extent cx="2094230" cy="1673225"/>
            <wp:effectExtent l="0" t="0" r="1270" b="3175"/>
            <wp:wrapTight wrapText="bothSides">
              <wp:wrapPolygon edited="0">
                <wp:start x="0" y="0"/>
                <wp:lineTo x="0" y="21395"/>
                <wp:lineTo x="21417" y="21395"/>
                <wp:lineTo x="21417" y="0"/>
                <wp:lineTo x="0" y="0"/>
              </wp:wrapPolygon>
            </wp:wrapTight>
            <wp:docPr id="6" name="Picture 6" descr="C:\Data\measurements\LANL\NHMFL\short_pulse\Magnetization\Sr4Ru3O10\pdf\dMdHvsH_MMtran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measurements\LANL\NHMFL\short_pulse\Magnetization\Sr4Ru3O10\pdf\dMdHvsH_MMtransi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530" w:rsidRPr="00767530">
        <w:rPr>
          <w:rFonts w:ascii="Arial" w:hAnsi="Arial" w:cs="Arial"/>
          <w:b/>
          <w:sz w:val="20"/>
          <w:szCs w:val="20"/>
        </w:rPr>
        <w:t>Results and Discussion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A352DC">
        <w:rPr>
          <w:rFonts w:ascii="Arial" w:hAnsi="Arial" w:cs="Arial"/>
          <w:sz w:val="20"/>
          <w:szCs w:val="20"/>
        </w:rPr>
        <w:t>We find that t</w:t>
      </w:r>
      <w:r w:rsidR="005E7C4A" w:rsidRPr="00A352DC">
        <w:rPr>
          <w:rFonts w:ascii="Arial" w:hAnsi="Arial" w:cs="Arial"/>
          <w:sz w:val="20"/>
          <w:szCs w:val="20"/>
        </w:rPr>
        <w:t xml:space="preserve">he magnetization increases smoothly above the MM </w:t>
      </w:r>
      <w:r w:rsidR="00AE3B38">
        <w:rPr>
          <w:rFonts w:ascii="Arial" w:hAnsi="Arial" w:cs="Arial"/>
          <w:sz w:val="20"/>
          <w:szCs w:val="20"/>
        </w:rPr>
        <w:t xml:space="preserve">double </w:t>
      </w:r>
      <w:r w:rsidR="005E7C4A" w:rsidRPr="00A352DC">
        <w:rPr>
          <w:rFonts w:ascii="Arial" w:hAnsi="Arial" w:cs="Arial"/>
          <w:sz w:val="20"/>
          <w:szCs w:val="20"/>
        </w:rPr>
        <w:t>transition</w:t>
      </w:r>
      <w:r w:rsidR="00767530">
        <w:rPr>
          <w:rFonts w:ascii="Arial" w:hAnsi="Arial" w:cs="Arial"/>
          <w:sz w:val="20"/>
          <w:szCs w:val="20"/>
        </w:rPr>
        <w:t xml:space="preserve"> at </w:t>
      </w:r>
      <w:r w:rsidR="00AE3B38">
        <w:rPr>
          <w:rFonts w:ascii="Arial" w:hAnsi="Arial" w:cs="Arial"/>
          <w:sz w:val="20"/>
          <w:szCs w:val="20"/>
        </w:rPr>
        <w:t>~ 2.6T</w:t>
      </w:r>
      <w:r w:rsidR="00767530">
        <w:rPr>
          <w:rFonts w:ascii="Arial" w:hAnsi="Arial" w:cs="Arial"/>
          <w:sz w:val="20"/>
          <w:szCs w:val="20"/>
        </w:rPr>
        <w:t xml:space="preserve">. It </w:t>
      </w:r>
      <w:r w:rsidR="005E7C4A" w:rsidRPr="00A352DC">
        <w:rPr>
          <w:rFonts w:ascii="Arial" w:hAnsi="Arial" w:cs="Arial"/>
          <w:sz w:val="20"/>
          <w:szCs w:val="20"/>
        </w:rPr>
        <w:t>does not reveal any</w:t>
      </w:r>
      <w:r w:rsidR="00767530">
        <w:rPr>
          <w:rFonts w:ascii="Arial" w:hAnsi="Arial" w:cs="Arial"/>
          <w:sz w:val="20"/>
          <w:szCs w:val="20"/>
        </w:rPr>
        <w:t xml:space="preserve"> additional</w:t>
      </w:r>
      <w:r w:rsidR="00355737">
        <w:rPr>
          <w:rFonts w:ascii="Arial" w:hAnsi="Arial" w:cs="Arial"/>
          <w:sz w:val="20"/>
          <w:szCs w:val="20"/>
        </w:rPr>
        <w:t xml:space="preserve"> feature such as step</w:t>
      </w:r>
      <w:r w:rsidR="00767530">
        <w:rPr>
          <w:rFonts w:ascii="Arial" w:hAnsi="Arial" w:cs="Arial"/>
          <w:sz w:val="20"/>
          <w:szCs w:val="20"/>
        </w:rPr>
        <w:t>s</w:t>
      </w:r>
      <w:r w:rsidR="00355737">
        <w:rPr>
          <w:rFonts w:ascii="Arial" w:hAnsi="Arial" w:cs="Arial"/>
          <w:sz w:val="20"/>
          <w:szCs w:val="20"/>
        </w:rPr>
        <w:t xml:space="preserve"> or kink</w:t>
      </w:r>
      <w:r w:rsidR="00767530">
        <w:rPr>
          <w:rFonts w:ascii="Arial" w:hAnsi="Arial" w:cs="Arial"/>
          <w:sz w:val="20"/>
          <w:szCs w:val="20"/>
        </w:rPr>
        <w:t>s</w:t>
      </w:r>
      <w:r w:rsidR="00355737">
        <w:rPr>
          <w:rFonts w:ascii="Arial" w:hAnsi="Arial" w:cs="Arial"/>
          <w:sz w:val="20"/>
          <w:szCs w:val="20"/>
        </w:rPr>
        <w:t xml:space="preserve"> </w:t>
      </w:r>
      <w:r w:rsidR="00AE3B38">
        <w:rPr>
          <w:rFonts w:ascii="Arial" w:hAnsi="Arial" w:cs="Arial"/>
          <w:sz w:val="20"/>
          <w:szCs w:val="20"/>
        </w:rPr>
        <w:t xml:space="preserve">in higher fields to 64T as </w:t>
      </w:r>
      <w:r w:rsidR="00767530">
        <w:rPr>
          <w:rFonts w:ascii="Arial" w:hAnsi="Arial" w:cs="Arial"/>
          <w:sz w:val="20"/>
          <w:szCs w:val="20"/>
        </w:rPr>
        <w:t>see</w:t>
      </w:r>
      <w:r w:rsidR="00AE3B38">
        <w:rPr>
          <w:rFonts w:ascii="Arial" w:hAnsi="Arial" w:cs="Arial"/>
          <w:sz w:val="20"/>
          <w:szCs w:val="20"/>
        </w:rPr>
        <w:t>n in</w:t>
      </w:r>
      <w:r w:rsidR="00767530">
        <w:rPr>
          <w:rFonts w:ascii="Arial" w:hAnsi="Arial" w:cs="Arial"/>
          <w:sz w:val="20"/>
          <w:szCs w:val="20"/>
        </w:rPr>
        <w:t xml:space="preserve"> F</w:t>
      </w:r>
      <w:r w:rsidR="00AE3B38">
        <w:rPr>
          <w:rFonts w:ascii="Arial" w:hAnsi="Arial" w:cs="Arial"/>
          <w:sz w:val="20"/>
          <w:szCs w:val="20"/>
        </w:rPr>
        <w:t>ig. 1</w:t>
      </w:r>
      <w:r w:rsidR="00355737">
        <w:rPr>
          <w:rFonts w:ascii="Arial" w:hAnsi="Arial" w:cs="Arial"/>
          <w:sz w:val="20"/>
          <w:szCs w:val="20"/>
        </w:rPr>
        <w:t>.</w:t>
      </w:r>
      <w:r w:rsidR="005E7C4A" w:rsidRPr="00A352DC">
        <w:rPr>
          <w:rFonts w:ascii="Arial" w:hAnsi="Arial" w:cs="Arial"/>
          <w:sz w:val="20"/>
          <w:szCs w:val="20"/>
        </w:rPr>
        <w:t xml:space="preserve"> It reaches about 1.5</w:t>
      </w:r>
      <w:r w:rsidR="00767530">
        <w:rPr>
          <w:rFonts w:ascii="Arial" w:hAnsi="Arial" w:cs="Arial"/>
          <w:sz w:val="20"/>
          <w:szCs w:val="20"/>
        </w:rPr>
        <w:t>µ</w:t>
      </w:r>
      <w:r w:rsidR="00767530" w:rsidRPr="00767530">
        <w:rPr>
          <w:rFonts w:ascii="Arial" w:hAnsi="Arial" w:cs="Arial"/>
          <w:sz w:val="20"/>
          <w:szCs w:val="20"/>
          <w:vertAlign w:val="subscript"/>
        </w:rPr>
        <w:t>B</w:t>
      </w:r>
      <w:r w:rsidR="005E7C4A" w:rsidRPr="00A352DC">
        <w:rPr>
          <w:rFonts w:ascii="Arial" w:hAnsi="Arial" w:cs="Arial"/>
          <w:sz w:val="20"/>
          <w:szCs w:val="20"/>
        </w:rPr>
        <w:t xml:space="preserve"> for highest fields, which is comparable to the maximum magnetization value for </w:t>
      </w:r>
      <w:r w:rsidR="005E7C4A" w:rsidRPr="00767530">
        <w:rPr>
          <w:rFonts w:ascii="Arial" w:hAnsi="Arial" w:cs="Arial"/>
          <w:i/>
          <w:sz w:val="20"/>
          <w:szCs w:val="20"/>
        </w:rPr>
        <w:t>H</w:t>
      </w:r>
      <w:r w:rsidR="00767530">
        <w:rPr>
          <w:rFonts w:ascii="Arial" w:hAnsi="Arial" w:cs="Arial"/>
          <w:i/>
          <w:sz w:val="20"/>
          <w:szCs w:val="20"/>
        </w:rPr>
        <w:t xml:space="preserve"> </w:t>
      </w:r>
      <w:r w:rsidR="005E7C4A" w:rsidRPr="00A352DC">
        <w:rPr>
          <w:rFonts w:ascii="Arial" w:hAnsi="Arial" w:cs="Arial"/>
          <w:sz w:val="20"/>
          <w:szCs w:val="20"/>
        </w:rPr>
        <w:t>ll</w:t>
      </w:r>
      <w:r w:rsidR="00767530">
        <w:rPr>
          <w:rFonts w:ascii="Arial" w:hAnsi="Arial" w:cs="Arial"/>
          <w:sz w:val="20"/>
          <w:szCs w:val="20"/>
        </w:rPr>
        <w:t xml:space="preserve"> </w:t>
      </w:r>
      <w:r w:rsidR="005E7C4A" w:rsidRPr="00767530">
        <w:rPr>
          <w:rFonts w:ascii="Arial" w:hAnsi="Arial" w:cs="Arial"/>
          <w:i/>
          <w:sz w:val="20"/>
          <w:szCs w:val="20"/>
        </w:rPr>
        <w:t>c</w:t>
      </w:r>
      <w:r w:rsidR="00767530">
        <w:rPr>
          <w:rFonts w:ascii="Arial" w:hAnsi="Arial" w:cs="Arial"/>
          <w:sz w:val="20"/>
          <w:szCs w:val="20"/>
        </w:rPr>
        <w:t xml:space="preserve">. The </w:t>
      </w:r>
      <w:r w:rsidR="005E7C4A" w:rsidRPr="00A352DC">
        <w:rPr>
          <w:rFonts w:ascii="Arial" w:hAnsi="Arial" w:cs="Arial"/>
          <w:sz w:val="20"/>
          <w:szCs w:val="20"/>
        </w:rPr>
        <w:t>wiggles in the data</w:t>
      </w:r>
      <w:r w:rsidR="00AE3B38">
        <w:rPr>
          <w:rFonts w:ascii="Arial" w:hAnsi="Arial" w:cs="Arial"/>
          <w:sz w:val="20"/>
          <w:szCs w:val="20"/>
        </w:rPr>
        <w:t xml:space="preserve"> above 50T</w:t>
      </w:r>
      <w:r w:rsidR="005E7C4A" w:rsidRPr="00A352DC">
        <w:rPr>
          <w:rFonts w:ascii="Arial" w:hAnsi="Arial" w:cs="Arial"/>
          <w:sz w:val="20"/>
          <w:szCs w:val="20"/>
        </w:rPr>
        <w:t xml:space="preserve"> are most likely caused by mecha</w:t>
      </w:r>
      <w:r w:rsidR="00355737">
        <w:rPr>
          <w:rFonts w:ascii="Arial" w:hAnsi="Arial" w:cs="Arial"/>
          <w:sz w:val="20"/>
          <w:szCs w:val="20"/>
        </w:rPr>
        <w:t>nical vibrations in the magnet</w:t>
      </w:r>
      <w:r w:rsidR="005E7C4A" w:rsidRPr="00A352DC">
        <w:rPr>
          <w:rFonts w:ascii="Arial" w:hAnsi="Arial" w:cs="Arial"/>
          <w:sz w:val="20"/>
          <w:szCs w:val="20"/>
        </w:rPr>
        <w:t>.</w:t>
      </w:r>
      <w:r w:rsidR="00E44C25">
        <w:rPr>
          <w:rFonts w:ascii="Arial" w:hAnsi="Arial" w:cs="Arial"/>
          <w:sz w:val="20"/>
          <w:szCs w:val="20"/>
        </w:rPr>
        <w:t xml:space="preserve"> The data were fitted with a phenomenological model including easy axis magnetic anisotropy and a DM term as indicated by the </w:t>
      </w:r>
      <w:r w:rsidR="00AE3B38">
        <w:rPr>
          <w:rFonts w:ascii="Arial" w:hAnsi="Arial" w:cs="Arial"/>
          <w:sz w:val="20"/>
          <w:szCs w:val="20"/>
        </w:rPr>
        <w:t xml:space="preserve">triangle and star </w:t>
      </w:r>
      <w:r w:rsidR="00E44C25">
        <w:rPr>
          <w:rFonts w:ascii="Arial" w:hAnsi="Arial" w:cs="Arial"/>
          <w:sz w:val="20"/>
          <w:szCs w:val="20"/>
        </w:rPr>
        <w:t>symbols in Fig. 1.</w:t>
      </w:r>
    </w:p>
    <w:p w:rsidR="00A352DC" w:rsidRPr="00A352DC" w:rsidRDefault="00355737" w:rsidP="00A352D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enlarging the low </w:t>
      </w:r>
      <w:r w:rsidR="00767530">
        <w:rPr>
          <w:rFonts w:ascii="Arial" w:hAnsi="Arial" w:cs="Arial"/>
          <w:sz w:val="20"/>
          <w:szCs w:val="20"/>
        </w:rPr>
        <w:t xml:space="preserve">field region up to 3T </w:t>
      </w:r>
      <w:r w:rsidR="00C2240B">
        <w:rPr>
          <w:rFonts w:ascii="Arial" w:hAnsi="Arial" w:cs="Arial"/>
          <w:sz w:val="20"/>
          <w:szCs w:val="20"/>
        </w:rPr>
        <w:t xml:space="preserve">as seen in the susceptibility in </w:t>
      </w:r>
      <w:r>
        <w:rPr>
          <w:rFonts w:ascii="Arial" w:hAnsi="Arial" w:cs="Arial"/>
          <w:sz w:val="20"/>
          <w:szCs w:val="20"/>
        </w:rPr>
        <w:t>Fig. 2, we observe a double feature at the metamagnetic transition at</w:t>
      </w:r>
      <w:r w:rsidR="00A352DC" w:rsidRPr="00A352DC">
        <w:rPr>
          <w:rFonts w:ascii="Arial" w:hAnsi="Arial" w:cs="Arial"/>
          <w:sz w:val="20"/>
          <w:szCs w:val="20"/>
        </w:rPr>
        <w:t xml:space="preserve"> </w:t>
      </w:r>
      <w:r w:rsidR="00A352DC" w:rsidRPr="00767530">
        <w:rPr>
          <w:rFonts w:ascii="Arial" w:hAnsi="Arial" w:cs="Arial"/>
          <w:i/>
          <w:sz w:val="20"/>
          <w:szCs w:val="20"/>
        </w:rPr>
        <w:t>H</w:t>
      </w:r>
      <w:r w:rsidR="00A352DC" w:rsidRPr="00767530">
        <w:rPr>
          <w:rFonts w:ascii="Arial" w:hAnsi="Arial" w:cs="Arial"/>
          <w:sz w:val="20"/>
          <w:szCs w:val="20"/>
          <w:vertAlign w:val="subscript"/>
        </w:rPr>
        <w:t>c1</w:t>
      </w:r>
      <w:r w:rsidR="00A352DC" w:rsidRPr="00A352DC">
        <w:rPr>
          <w:rFonts w:ascii="Arial" w:hAnsi="Arial" w:cs="Arial"/>
          <w:sz w:val="20"/>
          <w:szCs w:val="20"/>
        </w:rPr>
        <w:t xml:space="preserve"> and </w:t>
      </w:r>
      <w:r w:rsidR="00A352DC" w:rsidRPr="00767530">
        <w:rPr>
          <w:rFonts w:ascii="Arial" w:hAnsi="Arial" w:cs="Arial"/>
          <w:i/>
          <w:sz w:val="20"/>
          <w:szCs w:val="20"/>
        </w:rPr>
        <w:t>H</w:t>
      </w:r>
      <w:r w:rsidR="00A352DC" w:rsidRPr="00767530">
        <w:rPr>
          <w:rFonts w:ascii="Arial" w:hAnsi="Arial" w:cs="Arial"/>
          <w:sz w:val="20"/>
          <w:szCs w:val="20"/>
          <w:vertAlign w:val="subscript"/>
        </w:rPr>
        <w:t>c2</w:t>
      </w:r>
      <w:r w:rsidR="00767530">
        <w:rPr>
          <w:rFonts w:ascii="Arial" w:hAnsi="Arial" w:cs="Arial"/>
          <w:sz w:val="20"/>
          <w:szCs w:val="20"/>
        </w:rPr>
        <w:t xml:space="preserve"> a</w:t>
      </w:r>
      <w:r w:rsidR="00C2240B">
        <w:rPr>
          <w:rFonts w:ascii="Arial" w:hAnsi="Arial" w:cs="Arial"/>
          <w:sz w:val="20"/>
          <w:szCs w:val="20"/>
        </w:rPr>
        <w:t>s found</w:t>
      </w:r>
      <w:r w:rsidR="00767530">
        <w:rPr>
          <w:rFonts w:ascii="Arial" w:hAnsi="Arial" w:cs="Arial"/>
          <w:sz w:val="20"/>
          <w:szCs w:val="20"/>
        </w:rPr>
        <w:t xml:space="preserve"> in previous studies, but interes</w:t>
      </w:r>
      <w:r w:rsidR="001F395C">
        <w:rPr>
          <w:rFonts w:ascii="Arial" w:hAnsi="Arial" w:cs="Arial"/>
          <w:sz w:val="20"/>
          <w:szCs w:val="20"/>
        </w:rPr>
        <w:t>tingly, the shapes of the anomalies</w:t>
      </w:r>
      <w:r w:rsidR="00767530">
        <w:rPr>
          <w:rFonts w:ascii="Arial" w:hAnsi="Arial" w:cs="Arial"/>
          <w:sz w:val="20"/>
          <w:szCs w:val="20"/>
        </w:rPr>
        <w:t xml:space="preserve"> look</w:t>
      </w:r>
      <w:r>
        <w:rPr>
          <w:rFonts w:ascii="Arial" w:hAnsi="Arial" w:cs="Arial"/>
          <w:sz w:val="20"/>
          <w:szCs w:val="20"/>
        </w:rPr>
        <w:t xml:space="preserve"> </w:t>
      </w:r>
      <w:r w:rsidR="00A352DC" w:rsidRPr="00A352DC">
        <w:rPr>
          <w:rFonts w:ascii="Arial" w:hAnsi="Arial" w:cs="Arial"/>
          <w:sz w:val="20"/>
          <w:szCs w:val="20"/>
        </w:rPr>
        <w:t xml:space="preserve">different compared </w:t>
      </w:r>
      <w:r w:rsidR="001F395C">
        <w:rPr>
          <w:rFonts w:ascii="Arial" w:hAnsi="Arial" w:cs="Arial"/>
          <w:sz w:val="20"/>
          <w:szCs w:val="20"/>
        </w:rPr>
        <w:t>to</w:t>
      </w:r>
      <w:r w:rsidR="00767530">
        <w:rPr>
          <w:rFonts w:ascii="Arial" w:hAnsi="Arial" w:cs="Arial"/>
          <w:sz w:val="20"/>
          <w:szCs w:val="20"/>
        </w:rPr>
        <w:t xml:space="preserve"> published data taken on</w:t>
      </w:r>
      <w:r w:rsidR="00A352DC" w:rsidRPr="00A352DC">
        <w:rPr>
          <w:rFonts w:ascii="Arial" w:hAnsi="Arial" w:cs="Arial"/>
          <w:sz w:val="20"/>
          <w:szCs w:val="20"/>
        </w:rPr>
        <w:t xml:space="preserve"> a different sample</w:t>
      </w:r>
      <w:r w:rsidR="00767530">
        <w:rPr>
          <w:rFonts w:ascii="Arial" w:hAnsi="Arial" w:cs="Arial"/>
          <w:sz w:val="20"/>
          <w:szCs w:val="20"/>
        </w:rPr>
        <w:t xml:space="preserve"> [2,3]</w:t>
      </w:r>
      <w:r w:rsidR="00A352DC" w:rsidRPr="00A352DC">
        <w:rPr>
          <w:rFonts w:ascii="Arial" w:hAnsi="Arial" w:cs="Arial"/>
          <w:sz w:val="20"/>
          <w:szCs w:val="20"/>
        </w:rPr>
        <w:t>.</w:t>
      </w:r>
    </w:p>
    <w:p w:rsidR="004146DC" w:rsidRDefault="0035573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Unfortunately, we</w:t>
      </w:r>
      <w:r w:rsidR="005E7C4A" w:rsidRPr="00A352DC">
        <w:rPr>
          <w:rFonts w:ascii="Arial" w:hAnsi="Arial" w:cs="Arial"/>
          <w:sz w:val="20"/>
          <w:szCs w:val="20"/>
        </w:rPr>
        <w:t xml:space="preserve"> did not have</w:t>
      </w:r>
      <w:r>
        <w:rPr>
          <w:rFonts w:ascii="Arial" w:hAnsi="Arial" w:cs="Arial"/>
          <w:sz w:val="20"/>
          <w:szCs w:val="20"/>
        </w:rPr>
        <w:t xml:space="preserve"> enough</w:t>
      </w:r>
      <w:r w:rsidR="005E7C4A" w:rsidRPr="00A352DC">
        <w:rPr>
          <w:rFonts w:ascii="Arial" w:hAnsi="Arial" w:cs="Arial"/>
          <w:sz w:val="20"/>
          <w:szCs w:val="20"/>
        </w:rPr>
        <w:t xml:space="preserve"> time to m</w:t>
      </w:r>
      <w:r>
        <w:rPr>
          <w:rFonts w:ascii="Arial" w:hAnsi="Arial" w:cs="Arial"/>
          <w:sz w:val="20"/>
          <w:szCs w:val="20"/>
        </w:rPr>
        <w:t>easure the magnet</w:t>
      </w:r>
      <w:r w:rsidR="00E44C25">
        <w:rPr>
          <w:rFonts w:ascii="Arial" w:hAnsi="Arial" w:cs="Arial"/>
          <w:sz w:val="20"/>
          <w:szCs w:val="20"/>
        </w:rPr>
        <w:t xml:space="preserve">ization along </w:t>
      </w:r>
      <w:r w:rsidR="005E7C4A" w:rsidRPr="00A352DC">
        <w:rPr>
          <w:rFonts w:ascii="Arial" w:hAnsi="Arial" w:cs="Arial"/>
          <w:sz w:val="20"/>
          <w:szCs w:val="20"/>
        </w:rPr>
        <w:t xml:space="preserve">the </w:t>
      </w:r>
      <w:r w:rsidR="005E7C4A" w:rsidRPr="001F395C">
        <w:rPr>
          <w:rFonts w:ascii="Arial" w:hAnsi="Arial" w:cs="Arial"/>
          <w:i/>
          <w:sz w:val="20"/>
          <w:szCs w:val="20"/>
        </w:rPr>
        <w:t>H</w:t>
      </w:r>
      <w:r w:rsidR="001F395C">
        <w:rPr>
          <w:rFonts w:ascii="Arial" w:hAnsi="Arial" w:cs="Arial"/>
          <w:i/>
          <w:sz w:val="20"/>
          <w:szCs w:val="20"/>
        </w:rPr>
        <w:t xml:space="preserve"> </w:t>
      </w:r>
      <w:r w:rsidR="005E7C4A" w:rsidRPr="00A352DC">
        <w:rPr>
          <w:rFonts w:ascii="Arial" w:hAnsi="Arial" w:cs="Arial"/>
          <w:sz w:val="20"/>
          <w:szCs w:val="20"/>
        </w:rPr>
        <w:t>ll</w:t>
      </w:r>
      <w:r w:rsidR="001F395C">
        <w:rPr>
          <w:rFonts w:ascii="Arial" w:hAnsi="Arial" w:cs="Arial"/>
          <w:sz w:val="20"/>
          <w:szCs w:val="20"/>
        </w:rPr>
        <w:t xml:space="preserve"> </w:t>
      </w:r>
      <w:r w:rsidR="005E7C4A" w:rsidRPr="001F395C">
        <w:rPr>
          <w:rFonts w:ascii="Arial" w:hAnsi="Arial" w:cs="Arial"/>
          <w:i/>
          <w:sz w:val="20"/>
          <w:szCs w:val="20"/>
        </w:rPr>
        <w:t>b</w:t>
      </w:r>
      <w:r w:rsidR="005E7C4A" w:rsidRPr="00A352DC">
        <w:rPr>
          <w:rFonts w:ascii="Arial" w:hAnsi="Arial" w:cs="Arial"/>
          <w:sz w:val="20"/>
          <w:szCs w:val="20"/>
        </w:rPr>
        <w:t xml:space="preserve"> direction and </w:t>
      </w:r>
      <w:r>
        <w:rPr>
          <w:rFonts w:ascii="Arial" w:hAnsi="Arial" w:cs="Arial"/>
          <w:sz w:val="20"/>
          <w:szCs w:val="20"/>
        </w:rPr>
        <w:t>we will have to submit another experiment in order to complete the set of experimental data</w:t>
      </w:r>
      <w:r w:rsidR="00C2240B">
        <w:rPr>
          <w:rFonts w:ascii="Arial" w:hAnsi="Arial" w:cs="Arial"/>
          <w:sz w:val="20"/>
          <w:szCs w:val="20"/>
        </w:rPr>
        <w:t xml:space="preserve"> for publication.</w:t>
      </w:r>
    </w:p>
    <w:p w:rsidR="00A14233" w:rsidRDefault="003B4D6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6E632E" wp14:editId="68DFB1BA">
                <wp:simplePos x="0" y="0"/>
                <wp:positionH relativeFrom="page">
                  <wp:posOffset>5396865</wp:posOffset>
                </wp:positionH>
                <wp:positionV relativeFrom="page">
                  <wp:posOffset>6562725</wp:posOffset>
                </wp:positionV>
                <wp:extent cx="2087880" cy="1177290"/>
                <wp:effectExtent l="0" t="0" r="7620" b="3810"/>
                <wp:wrapTight wrapText="bothSides">
                  <wp:wrapPolygon edited="0">
                    <wp:start x="0" y="0"/>
                    <wp:lineTo x="0" y="21320"/>
                    <wp:lineTo x="21482" y="21320"/>
                    <wp:lineTo x="21482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177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333A" w:rsidRPr="003B4D6B" w:rsidRDefault="0001333A" w:rsidP="0001333A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</w:pPr>
                            <w:r w:rsidRPr="003B4D6B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 xml:space="preserve">Fig. </w:t>
                            </w:r>
                            <w:r w:rsidR="00A55D4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>2</w:t>
                            </w:r>
                            <w:r w:rsidRPr="003B4D6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Magnetic susceptibility dM/dH for increasing magnetic fields up to 3T (H ll a) of Sr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4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Ru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3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O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10</w:t>
                            </w:r>
                            <w:r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. </w:t>
                            </w:r>
                            <w:r w:rsidR="0080441F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No significant temperatur</w:t>
                            </w:r>
                            <w:r w:rsidR="001F395C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e dependence is observed in</w:t>
                            </w:r>
                            <w:r w:rsidR="0080441F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the measurements beteween 0.6K and 4.0K. Interestingly, dM/dH follows a different behavior as pub</w:t>
                            </w:r>
                            <w:r w:rsidR="001F395C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lished in previous studies [2,3</w:t>
                            </w:r>
                            <w:r w:rsidR="0080441F" w:rsidRPr="003B4D6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24.95pt;margin-top:516.75pt;width:164.4pt;height:92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" stroked="f">
                <v:textbox inset="0,0,0,0">
                  <w:txbxContent>
                    <w:p w:rsidR="0001333A" w:rsidRPr="003B4D6B" w:rsidRDefault="0001333A" w:rsidP="0001333A">
                      <w:pPr>
                        <w:pStyle w:val="Caption"/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</w:pPr>
                      <w:r w:rsidRPr="003B4D6B">
                        <w:rPr>
                          <w:rFonts w:ascii="Arial" w:hAnsi="Arial" w:cs="Arial"/>
                          <w:i/>
                          <w:color w:val="auto"/>
                        </w:rPr>
                        <w:t xml:space="preserve">Fig. </w:t>
                      </w:r>
                      <w:r w:rsidR="00A55D4A">
                        <w:rPr>
                          <w:rFonts w:ascii="Arial" w:hAnsi="Arial" w:cs="Arial"/>
                          <w:i/>
                          <w:color w:val="auto"/>
                        </w:rPr>
                        <w:t>2</w:t>
                      </w:r>
                      <w:r w:rsidRPr="003B4D6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Magnetic susceptibility dM/dH for increasing magnetic fields up to 3T (H ll a) of Sr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4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Ru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3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O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10</w:t>
                      </w:r>
                      <w:r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. </w:t>
                      </w:r>
                      <w:r w:rsidR="0080441F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No significant temperatur</w:t>
                      </w:r>
                      <w:r w:rsidR="001F395C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e dependence is observed in</w:t>
                      </w:r>
                      <w:r w:rsidR="0080441F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the measurements beteween 0.6K and 4.0K. Interestingly, dM/dH follows a different behavior as pub</w:t>
                      </w:r>
                      <w:r w:rsidR="001F395C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lished in previous studies [2,3</w:t>
                      </w:r>
                      <w:r w:rsidR="0080441F" w:rsidRPr="003B4D6B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].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5473" w:rsidRPr="006B382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F395C">
        <w:rPr>
          <w:rFonts w:ascii="Arial" w:hAnsi="Arial" w:cs="Arial"/>
          <w:sz w:val="20"/>
          <w:szCs w:val="20"/>
        </w:rPr>
        <w:t>Our magnetization ex</w:t>
      </w:r>
      <w:r w:rsidR="00A14233">
        <w:rPr>
          <w:rFonts w:ascii="Arial" w:hAnsi="Arial" w:cs="Arial"/>
          <w:sz w:val="20"/>
          <w:szCs w:val="20"/>
        </w:rPr>
        <w:t>periments up to 65T confirm that the magnetic behavior in Sr</w:t>
      </w:r>
      <w:r w:rsidR="00A14233" w:rsidRPr="00E44C25">
        <w:rPr>
          <w:rFonts w:ascii="Arial" w:hAnsi="Arial" w:cs="Arial"/>
          <w:sz w:val="20"/>
          <w:szCs w:val="20"/>
          <w:vertAlign w:val="subscript"/>
        </w:rPr>
        <w:t>4</w:t>
      </w:r>
      <w:r w:rsidR="00A14233">
        <w:rPr>
          <w:rFonts w:ascii="Arial" w:hAnsi="Arial" w:cs="Arial"/>
          <w:sz w:val="20"/>
          <w:szCs w:val="20"/>
        </w:rPr>
        <w:t>Ru</w:t>
      </w:r>
      <w:r w:rsidR="00A14233" w:rsidRPr="00E44C25">
        <w:rPr>
          <w:rFonts w:ascii="Arial" w:hAnsi="Arial" w:cs="Arial"/>
          <w:sz w:val="20"/>
          <w:szCs w:val="20"/>
          <w:vertAlign w:val="subscript"/>
        </w:rPr>
        <w:t>3</w:t>
      </w:r>
      <w:r w:rsidR="00A14233">
        <w:rPr>
          <w:rFonts w:ascii="Arial" w:hAnsi="Arial" w:cs="Arial"/>
          <w:sz w:val="20"/>
          <w:szCs w:val="20"/>
        </w:rPr>
        <w:t>O</w:t>
      </w:r>
      <w:r w:rsidR="00A14233" w:rsidRPr="00E44C25">
        <w:rPr>
          <w:rFonts w:ascii="Arial" w:hAnsi="Arial" w:cs="Arial"/>
          <w:sz w:val="20"/>
          <w:szCs w:val="20"/>
          <w:vertAlign w:val="subscript"/>
        </w:rPr>
        <w:t>10</w:t>
      </w:r>
      <w:r w:rsidR="00A14233">
        <w:rPr>
          <w:rFonts w:ascii="Arial" w:hAnsi="Arial" w:cs="Arial"/>
          <w:sz w:val="20"/>
          <w:szCs w:val="20"/>
        </w:rPr>
        <w:t xml:space="preserve"> is ruled by easy axis ferromagnetism combined with a DM contribution. The characteristic parameters obtained in low magnetic fields are consistent with those extracted from the high field magnetization. We do not observe a dramatic change in the magnetization that can be associated with a sudden change of</w:t>
      </w:r>
      <w:r w:rsidR="00E44C25">
        <w:rPr>
          <w:rFonts w:ascii="Arial" w:hAnsi="Arial" w:cs="Arial"/>
          <w:sz w:val="20"/>
          <w:szCs w:val="20"/>
        </w:rPr>
        <w:t xml:space="preserve"> the </w:t>
      </w:r>
      <w:r w:rsidR="00A14233" w:rsidRPr="00E44C25">
        <w:rPr>
          <w:rFonts w:ascii="Arial" w:hAnsi="Arial" w:cs="Arial"/>
          <w:i/>
          <w:sz w:val="20"/>
          <w:szCs w:val="20"/>
        </w:rPr>
        <w:t>t</w:t>
      </w:r>
      <w:r w:rsidR="00A14233" w:rsidRPr="00E44C25">
        <w:rPr>
          <w:rFonts w:ascii="Arial" w:hAnsi="Arial" w:cs="Arial"/>
          <w:i/>
          <w:sz w:val="20"/>
          <w:szCs w:val="20"/>
          <w:vertAlign w:val="subscript"/>
        </w:rPr>
        <w:t>2g</w:t>
      </w:r>
      <w:r w:rsidR="00E44C25">
        <w:rPr>
          <w:rFonts w:ascii="Arial" w:hAnsi="Arial" w:cs="Arial"/>
          <w:sz w:val="20"/>
          <w:szCs w:val="20"/>
        </w:rPr>
        <w:t xml:space="preserve"> ground state</w:t>
      </w:r>
      <w:r w:rsidR="00A14233">
        <w:rPr>
          <w:rFonts w:ascii="Arial" w:hAnsi="Arial" w:cs="Arial"/>
          <w:sz w:val="20"/>
          <w:szCs w:val="20"/>
        </w:rPr>
        <w:t xml:space="preserve"> to </w:t>
      </w:r>
      <w:r w:rsidR="00A14233" w:rsidRPr="00E44C25">
        <w:rPr>
          <w:rFonts w:ascii="Arial" w:hAnsi="Arial" w:cs="Arial"/>
          <w:i/>
          <w:sz w:val="20"/>
          <w:szCs w:val="20"/>
        </w:rPr>
        <w:t>e</w:t>
      </w:r>
      <w:r w:rsidR="00A14233" w:rsidRPr="00E44C25">
        <w:rPr>
          <w:rFonts w:ascii="Arial" w:hAnsi="Arial" w:cs="Arial"/>
          <w:i/>
          <w:sz w:val="20"/>
          <w:szCs w:val="20"/>
          <w:vertAlign w:val="subscript"/>
        </w:rPr>
        <w:t>g</w:t>
      </w:r>
      <w:r w:rsidR="00A14233">
        <w:rPr>
          <w:rFonts w:ascii="Arial" w:hAnsi="Arial" w:cs="Arial"/>
          <w:sz w:val="20"/>
          <w:szCs w:val="20"/>
        </w:rPr>
        <w:t xml:space="preserve">. </w:t>
      </w:r>
      <w:r w:rsidR="00AE3B38">
        <w:rPr>
          <w:rFonts w:ascii="Arial" w:hAnsi="Arial" w:cs="Arial"/>
          <w:sz w:val="20"/>
          <w:szCs w:val="20"/>
        </w:rPr>
        <w:t>The magnetization does not saturate up to 64T.</w:t>
      </w:r>
    </w:p>
    <w:p w:rsidR="00E25473" w:rsidRPr="006B3824" w:rsidRDefault="00A1423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14233">
        <w:rPr>
          <w:rFonts w:ascii="Arial" w:hAnsi="Arial" w:cs="Arial"/>
          <w:b/>
          <w:sz w:val="20"/>
          <w:szCs w:val="20"/>
        </w:rPr>
        <w:t>A</w:t>
      </w:r>
      <w:r w:rsidR="00E25473" w:rsidRPr="00A14233">
        <w:rPr>
          <w:rFonts w:ascii="Arial" w:hAnsi="Arial" w:cs="Arial"/>
          <w:b/>
          <w:sz w:val="20"/>
          <w:szCs w:val="20"/>
        </w:rPr>
        <w:t>ckn</w:t>
      </w:r>
      <w:r w:rsidR="00E25473" w:rsidRPr="006B3824">
        <w:rPr>
          <w:rFonts w:ascii="Arial" w:hAnsi="Arial" w:cs="Arial"/>
          <w:b/>
          <w:sz w:val="20"/>
          <w:szCs w:val="20"/>
        </w:rPr>
        <w:t>owledgements</w:t>
      </w:r>
      <w:r w:rsidR="003B4D6B">
        <w:rPr>
          <w:rFonts w:ascii="Arial" w:hAnsi="Arial" w:cs="Arial"/>
          <w:b/>
          <w:sz w:val="20"/>
          <w:szCs w:val="20"/>
        </w:rPr>
        <w:t xml:space="preserve"> - </w:t>
      </w:r>
      <w:r w:rsidRPr="00A14233">
        <w:rPr>
          <w:rFonts w:ascii="Arial" w:hAnsi="Arial" w:cs="Arial"/>
          <w:sz w:val="20"/>
          <w:szCs w:val="20"/>
        </w:rPr>
        <w:t>A portion of this work was performed at the National High Magnetic Field Laboratory, which is supported by National Science Foundation Coopera</w:t>
      </w:r>
      <w:r w:rsidR="00E44C25">
        <w:rPr>
          <w:rFonts w:ascii="Arial" w:hAnsi="Arial" w:cs="Arial"/>
          <w:sz w:val="20"/>
          <w:szCs w:val="20"/>
        </w:rPr>
        <w:t>tive Agreement No. DMR-1157490,</w:t>
      </w:r>
      <w:r w:rsidRPr="00A14233">
        <w:rPr>
          <w:rFonts w:ascii="Arial" w:hAnsi="Arial" w:cs="Arial"/>
          <w:sz w:val="20"/>
          <w:szCs w:val="20"/>
        </w:rPr>
        <w:t xml:space="preserve"> the State of Florida and the Uni</w:t>
      </w:r>
      <w:r>
        <w:rPr>
          <w:rFonts w:ascii="Arial" w:hAnsi="Arial" w:cs="Arial"/>
          <w:sz w:val="20"/>
          <w:szCs w:val="20"/>
        </w:rPr>
        <w:t xml:space="preserve">ted States Department of Energy. </w:t>
      </w:r>
      <w:r w:rsidR="00E44C25" w:rsidRPr="00E44C25">
        <w:rPr>
          <w:rFonts w:ascii="Arial" w:hAnsi="Arial" w:cs="Arial"/>
          <w:sz w:val="20"/>
          <w:szCs w:val="20"/>
        </w:rPr>
        <w:t>Work by L</w:t>
      </w:r>
      <w:r w:rsidR="00E44C25">
        <w:rPr>
          <w:rFonts w:ascii="Arial" w:hAnsi="Arial" w:cs="Arial"/>
          <w:sz w:val="20"/>
          <w:szCs w:val="20"/>
        </w:rPr>
        <w:t xml:space="preserve">.C. </w:t>
      </w:r>
      <w:r w:rsidR="00E44C25" w:rsidRPr="00E44C25">
        <w:rPr>
          <w:rFonts w:ascii="Arial" w:hAnsi="Arial" w:cs="Arial"/>
          <w:sz w:val="20"/>
          <w:szCs w:val="20"/>
        </w:rPr>
        <w:t>was</w:t>
      </w:r>
      <w:r w:rsidR="00E44C25">
        <w:rPr>
          <w:rFonts w:ascii="Arial" w:hAnsi="Arial" w:cs="Arial"/>
          <w:sz w:val="20"/>
          <w:szCs w:val="20"/>
        </w:rPr>
        <w:t xml:space="preserve"> </w:t>
      </w:r>
      <w:r w:rsidR="00E44C25" w:rsidRPr="00E44C25">
        <w:rPr>
          <w:rFonts w:ascii="Arial" w:hAnsi="Arial" w:cs="Arial"/>
          <w:sz w:val="20"/>
          <w:szCs w:val="20"/>
        </w:rPr>
        <w:t>supported by the US DOE, Office of Science, Basic Energy Sciences, Materials Sciences and Engineering Division</w:t>
      </w:r>
      <w:r w:rsidR="00E44C25">
        <w:rPr>
          <w:rFonts w:ascii="Arial" w:hAnsi="Arial" w:cs="Arial"/>
          <w:sz w:val="20"/>
          <w:szCs w:val="20"/>
        </w:rPr>
        <w:t>.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E411D1" w:rsidRPr="006B3824" w:rsidRDefault="00E411D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="001F395C">
        <w:rPr>
          <w:rFonts w:ascii="Arial" w:hAnsi="Arial" w:cs="Arial"/>
          <w:sz w:val="20"/>
          <w:szCs w:val="20"/>
        </w:rPr>
        <w:t xml:space="preserve"> </w:t>
      </w:r>
      <w:r w:rsidR="00767530">
        <w:rPr>
          <w:rFonts w:ascii="Arial" w:hAnsi="Arial" w:cs="Arial"/>
          <w:sz w:val="20"/>
          <w:szCs w:val="20"/>
        </w:rPr>
        <w:t>M. K. Crawford et al., Phys. Rev. B 65, 214412 (2002).</w:t>
      </w:r>
    </w:p>
    <w:p w:rsidR="00CB0819" w:rsidRDefault="001F39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r w:rsidR="00767530">
        <w:rPr>
          <w:rFonts w:ascii="Arial" w:hAnsi="Arial" w:cs="Arial"/>
          <w:sz w:val="20"/>
          <w:szCs w:val="20"/>
        </w:rPr>
        <w:t xml:space="preserve">F. Weickert et al., Sci. Rep. </w:t>
      </w:r>
      <w:r w:rsidR="00120180" w:rsidRPr="006B3824">
        <w:rPr>
          <w:rFonts w:ascii="Arial" w:hAnsi="Arial" w:cs="Arial"/>
          <w:sz w:val="20"/>
          <w:szCs w:val="20"/>
        </w:rPr>
        <w:t>(20</w:t>
      </w:r>
      <w:r w:rsidR="00767530">
        <w:rPr>
          <w:rFonts w:ascii="Arial" w:hAnsi="Arial" w:cs="Arial"/>
          <w:sz w:val="20"/>
          <w:szCs w:val="20"/>
        </w:rPr>
        <w:t>17</w:t>
      </w:r>
      <w:r w:rsidR="00CB0819" w:rsidRPr="006B3824">
        <w:rPr>
          <w:rFonts w:ascii="Arial" w:hAnsi="Arial" w:cs="Arial"/>
          <w:sz w:val="20"/>
          <w:szCs w:val="20"/>
        </w:rPr>
        <w:t>)</w:t>
      </w:r>
      <w:r w:rsidR="00767530">
        <w:rPr>
          <w:rFonts w:ascii="Arial" w:hAnsi="Arial" w:cs="Arial"/>
          <w:sz w:val="20"/>
          <w:szCs w:val="20"/>
        </w:rPr>
        <w:t>, F. Weickert et al., Physica B, (2017)</w:t>
      </w:r>
      <w:r w:rsidR="00CB0819" w:rsidRPr="006B3824">
        <w:rPr>
          <w:rFonts w:ascii="Arial" w:hAnsi="Arial" w:cs="Arial"/>
          <w:sz w:val="20"/>
          <w:szCs w:val="20"/>
        </w:rPr>
        <w:t>.</w:t>
      </w:r>
    </w:p>
    <w:p w:rsidR="00767530" w:rsidRPr="006B3824" w:rsidRDefault="00767530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[3] </w:t>
      </w:r>
      <w:r w:rsidR="001F39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 Carleschi et al., Phys. Rev. B 90, 205120</w:t>
      </w:r>
      <w:r w:rsidR="001F395C">
        <w:rPr>
          <w:rFonts w:ascii="Arial" w:hAnsi="Arial" w:cs="Arial"/>
          <w:sz w:val="20"/>
          <w:szCs w:val="20"/>
        </w:rPr>
        <w:t xml:space="preserve"> (2014).</w:t>
      </w:r>
    </w:p>
    <w:sectPr w:rsidR="00767530" w:rsidRPr="006B3824" w:rsidSect="007207FF">
      <w:headerReference w:type="default" r:id="rId10"/>
      <w:pgSz w:w="12240" w:h="15840" w:code="1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55" w:rsidRDefault="005B6555">
      <w:r>
        <w:separator/>
      </w:r>
    </w:p>
  </w:endnote>
  <w:endnote w:type="continuationSeparator" w:id="0">
    <w:p w:rsidR="005B6555" w:rsidRDefault="005B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55" w:rsidRDefault="005B6555">
      <w:r>
        <w:separator/>
      </w:r>
    </w:p>
  </w:footnote>
  <w:footnote w:type="continuationSeparator" w:id="0">
    <w:p w:rsidR="005B6555" w:rsidRDefault="005B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6B" w:rsidRPr="00091A2B" w:rsidRDefault="003B4D6B" w:rsidP="003B4D6B">
    <w:pPr>
      <w:jc w:val="center"/>
      <w:rPr>
        <w:rFonts w:ascii="Arial" w:hAnsi="Arial" w:cs="Arial"/>
        <w:b/>
        <w:color w:val="7030A0"/>
        <w:sz w:val="22"/>
        <w:szCs w:val="22"/>
      </w:rPr>
    </w:pP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-263525</wp:posOffset>
          </wp:positionV>
          <wp:extent cx="519430" cy="627380"/>
          <wp:effectExtent l="0" t="0" r="0" b="1270"/>
          <wp:wrapSquare wrapText="bothSides"/>
          <wp:docPr id="2" name="Picture 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A2B">
      <w:rPr>
        <w:rFonts w:ascii="Arial" w:hAnsi="Arial" w:cs="Arial"/>
        <w:b/>
        <w:color w:val="7030A0"/>
        <w:sz w:val="22"/>
        <w:szCs w:val="22"/>
      </w:rPr>
      <w:t>NATIONAL HIGH MAGNETIC FIELD LABORATORY</w:t>
    </w:r>
  </w:p>
  <w:p w:rsidR="003B4D6B" w:rsidRPr="00091A2B" w:rsidRDefault="003B4D6B" w:rsidP="003B4D6B">
    <w:pPr>
      <w:jc w:val="center"/>
      <w:rPr>
        <w:rFonts w:ascii="Arial" w:hAnsi="Arial" w:cs="Arial"/>
        <w:b/>
        <w:color w:val="7030A0"/>
        <w:sz w:val="22"/>
        <w:szCs w:val="22"/>
      </w:rPr>
    </w:pPr>
    <w:r w:rsidRPr="00091A2B">
      <w:rPr>
        <w:rFonts w:ascii="Arial" w:hAnsi="Arial" w:cs="Arial"/>
        <w:b/>
        <w:color w:val="7030A0"/>
        <w:sz w:val="22"/>
        <w:szCs w:val="22"/>
      </w:rPr>
      <w:t xml:space="preserve">2017 ANNUAL RESEARCH </w:t>
    </w:r>
  </w:p>
  <w:p w:rsidR="00113D92" w:rsidRPr="000A59A8" w:rsidRDefault="00113D92" w:rsidP="0053142A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D"/>
    <w:rsid w:val="0001333A"/>
    <w:rsid w:val="00020C55"/>
    <w:rsid w:val="000A1716"/>
    <w:rsid w:val="000A59A8"/>
    <w:rsid w:val="000E1D4F"/>
    <w:rsid w:val="00112777"/>
    <w:rsid w:val="00113D92"/>
    <w:rsid w:val="00120180"/>
    <w:rsid w:val="0014062B"/>
    <w:rsid w:val="0014131B"/>
    <w:rsid w:val="00155AD2"/>
    <w:rsid w:val="00167606"/>
    <w:rsid w:val="0018419E"/>
    <w:rsid w:val="00187023"/>
    <w:rsid w:val="001A7EDF"/>
    <w:rsid w:val="001E5ECF"/>
    <w:rsid w:val="001F395C"/>
    <w:rsid w:val="002131D5"/>
    <w:rsid w:val="00231335"/>
    <w:rsid w:val="00233F11"/>
    <w:rsid w:val="002524EE"/>
    <w:rsid w:val="002876F7"/>
    <w:rsid w:val="002C7675"/>
    <w:rsid w:val="002E11D3"/>
    <w:rsid w:val="002F7D6A"/>
    <w:rsid w:val="00312B6F"/>
    <w:rsid w:val="00312C04"/>
    <w:rsid w:val="00315247"/>
    <w:rsid w:val="00335F65"/>
    <w:rsid w:val="00355737"/>
    <w:rsid w:val="003560D2"/>
    <w:rsid w:val="003A2C80"/>
    <w:rsid w:val="003B4D6B"/>
    <w:rsid w:val="003C6493"/>
    <w:rsid w:val="003D098B"/>
    <w:rsid w:val="003E107E"/>
    <w:rsid w:val="003E2F8E"/>
    <w:rsid w:val="003F55A7"/>
    <w:rsid w:val="00410D2C"/>
    <w:rsid w:val="004146DC"/>
    <w:rsid w:val="0049187D"/>
    <w:rsid w:val="0049260D"/>
    <w:rsid w:val="00496E4E"/>
    <w:rsid w:val="004F160B"/>
    <w:rsid w:val="0053142A"/>
    <w:rsid w:val="005452B9"/>
    <w:rsid w:val="00583BC3"/>
    <w:rsid w:val="005B6555"/>
    <w:rsid w:val="005E7C4A"/>
    <w:rsid w:val="005F6F1E"/>
    <w:rsid w:val="00604793"/>
    <w:rsid w:val="00625028"/>
    <w:rsid w:val="00672D41"/>
    <w:rsid w:val="006B3824"/>
    <w:rsid w:val="006B47E5"/>
    <w:rsid w:val="006D745E"/>
    <w:rsid w:val="006E4A9F"/>
    <w:rsid w:val="00707491"/>
    <w:rsid w:val="007207FF"/>
    <w:rsid w:val="0072224F"/>
    <w:rsid w:val="00767530"/>
    <w:rsid w:val="007C0813"/>
    <w:rsid w:val="007D3105"/>
    <w:rsid w:val="0080441F"/>
    <w:rsid w:val="00862CB5"/>
    <w:rsid w:val="008B05B8"/>
    <w:rsid w:val="008C5788"/>
    <w:rsid w:val="008E60C2"/>
    <w:rsid w:val="008E7704"/>
    <w:rsid w:val="008F5771"/>
    <w:rsid w:val="00901F85"/>
    <w:rsid w:val="0096056F"/>
    <w:rsid w:val="009648AC"/>
    <w:rsid w:val="009A39F6"/>
    <w:rsid w:val="009A3F73"/>
    <w:rsid w:val="009B41B2"/>
    <w:rsid w:val="009C318D"/>
    <w:rsid w:val="009C3DF0"/>
    <w:rsid w:val="009C7F31"/>
    <w:rsid w:val="009D39A4"/>
    <w:rsid w:val="009F789C"/>
    <w:rsid w:val="00A14233"/>
    <w:rsid w:val="00A352DC"/>
    <w:rsid w:val="00A55D4A"/>
    <w:rsid w:val="00A67BCB"/>
    <w:rsid w:val="00A74BDE"/>
    <w:rsid w:val="00A94FC4"/>
    <w:rsid w:val="00AB182D"/>
    <w:rsid w:val="00AC4AFE"/>
    <w:rsid w:val="00AD26A2"/>
    <w:rsid w:val="00AE142B"/>
    <w:rsid w:val="00AE3B38"/>
    <w:rsid w:val="00B00CDB"/>
    <w:rsid w:val="00B30E7C"/>
    <w:rsid w:val="00B45112"/>
    <w:rsid w:val="00B50C4D"/>
    <w:rsid w:val="00B5585D"/>
    <w:rsid w:val="00B71405"/>
    <w:rsid w:val="00B84082"/>
    <w:rsid w:val="00B95FCB"/>
    <w:rsid w:val="00B96080"/>
    <w:rsid w:val="00BA00BE"/>
    <w:rsid w:val="00BC7389"/>
    <w:rsid w:val="00BE2257"/>
    <w:rsid w:val="00C02989"/>
    <w:rsid w:val="00C076C7"/>
    <w:rsid w:val="00C13313"/>
    <w:rsid w:val="00C135B5"/>
    <w:rsid w:val="00C2240B"/>
    <w:rsid w:val="00C35DEC"/>
    <w:rsid w:val="00C75A17"/>
    <w:rsid w:val="00C81666"/>
    <w:rsid w:val="00CA6625"/>
    <w:rsid w:val="00CB0819"/>
    <w:rsid w:val="00CB1A7C"/>
    <w:rsid w:val="00CB4058"/>
    <w:rsid w:val="00CC0E4A"/>
    <w:rsid w:val="00CC5B40"/>
    <w:rsid w:val="00CE3F90"/>
    <w:rsid w:val="00D000E5"/>
    <w:rsid w:val="00D01F6B"/>
    <w:rsid w:val="00D14F18"/>
    <w:rsid w:val="00D47109"/>
    <w:rsid w:val="00D65CBB"/>
    <w:rsid w:val="00D851F6"/>
    <w:rsid w:val="00DD44E5"/>
    <w:rsid w:val="00DF3F77"/>
    <w:rsid w:val="00DF6DF6"/>
    <w:rsid w:val="00E04B24"/>
    <w:rsid w:val="00E07ED9"/>
    <w:rsid w:val="00E25473"/>
    <w:rsid w:val="00E411D1"/>
    <w:rsid w:val="00E44C25"/>
    <w:rsid w:val="00E70EBF"/>
    <w:rsid w:val="00E95E6D"/>
    <w:rsid w:val="00EB489A"/>
    <w:rsid w:val="00EB515D"/>
    <w:rsid w:val="00F31B06"/>
    <w:rsid w:val="00F46620"/>
    <w:rsid w:val="00F54466"/>
    <w:rsid w:val="00F635A0"/>
    <w:rsid w:val="00F8198A"/>
    <w:rsid w:val="00FC4BBB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131D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131D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Katherine M. Hedick</dc:creator>
  <cp:lastModifiedBy>Anke Toth</cp:lastModifiedBy>
  <cp:revision>10</cp:revision>
  <cp:lastPrinted>2010-10-01T16:54:00Z</cp:lastPrinted>
  <dcterms:created xsi:type="dcterms:W3CDTF">2017-12-15T18:04:00Z</dcterms:created>
  <dcterms:modified xsi:type="dcterms:W3CDTF">2018-04-05T13:40:00Z</dcterms:modified>
</cp:coreProperties>
</file>