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CF6589" w14:textId="70D5F488" w:rsidR="00C75A17" w:rsidRPr="00D65CBB" w:rsidRDefault="0042593A" w:rsidP="0042593A">
      <w:pPr>
        <w:tabs>
          <w:tab w:val="left" w:pos="360"/>
        </w:tabs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High-field magnetization of free-to-rotate GdCo5</w:t>
      </w:r>
    </w:p>
    <w:p w14:paraId="2477286A" w14:textId="18B31BBA" w:rsidR="003E2F8E" w:rsidRPr="006B3824" w:rsidRDefault="003E2F8E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0A5636DD" w14:textId="65DAB321" w:rsidR="00A94FC4" w:rsidRPr="006B3824" w:rsidRDefault="0042593A" w:rsidP="0049187D">
      <w:pPr>
        <w:pBdr>
          <w:bottom w:val="single" w:sz="12" w:space="1" w:color="auto"/>
        </w:pBd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42593A">
        <w:rPr>
          <w:rFonts w:ascii="Arial" w:hAnsi="Arial" w:cs="Arial"/>
          <w:sz w:val="20"/>
          <w:szCs w:val="20"/>
          <w:u w:val="single"/>
        </w:rPr>
        <w:t>Goddard</w:t>
      </w:r>
      <w:r>
        <w:rPr>
          <w:rFonts w:ascii="Arial" w:hAnsi="Arial" w:cs="Arial"/>
          <w:sz w:val="20"/>
          <w:szCs w:val="20"/>
        </w:rPr>
        <w:t xml:space="preserve">, </w:t>
      </w:r>
      <w:r w:rsidR="00A7756B">
        <w:rPr>
          <w:rFonts w:ascii="Arial" w:hAnsi="Arial" w:cs="Arial"/>
          <w:sz w:val="20"/>
          <w:szCs w:val="20"/>
        </w:rPr>
        <w:t xml:space="preserve">P., </w:t>
      </w:r>
      <w:r>
        <w:rPr>
          <w:rFonts w:ascii="Arial" w:hAnsi="Arial" w:cs="Arial"/>
          <w:sz w:val="20"/>
          <w:szCs w:val="20"/>
        </w:rPr>
        <w:t xml:space="preserve">Gotze, </w:t>
      </w:r>
      <w:r w:rsidR="00A7756B">
        <w:rPr>
          <w:rFonts w:ascii="Arial" w:hAnsi="Arial" w:cs="Arial"/>
          <w:sz w:val="20"/>
          <w:szCs w:val="20"/>
        </w:rPr>
        <w:t>K.</w:t>
      </w:r>
      <w:r w:rsidR="004D0D46">
        <w:rPr>
          <w:rFonts w:ascii="Arial" w:hAnsi="Arial" w:cs="Arial"/>
          <w:sz w:val="20"/>
          <w:szCs w:val="20"/>
        </w:rPr>
        <w:t>,</w:t>
      </w:r>
      <w:r w:rsidR="00A7756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Pearce, </w:t>
      </w:r>
      <w:r w:rsidR="00A7756B">
        <w:rPr>
          <w:rFonts w:ascii="Arial" w:hAnsi="Arial" w:cs="Arial"/>
          <w:sz w:val="20"/>
          <w:szCs w:val="20"/>
        </w:rPr>
        <w:t xml:space="preserve">M., </w:t>
      </w:r>
      <w:r>
        <w:rPr>
          <w:rFonts w:ascii="Arial" w:hAnsi="Arial" w:cs="Arial"/>
          <w:sz w:val="20"/>
          <w:szCs w:val="20"/>
        </w:rPr>
        <w:t xml:space="preserve">Patrick, </w:t>
      </w:r>
      <w:r w:rsidR="00A7756B">
        <w:rPr>
          <w:rFonts w:ascii="Arial" w:hAnsi="Arial" w:cs="Arial"/>
          <w:sz w:val="20"/>
          <w:szCs w:val="20"/>
        </w:rPr>
        <w:t xml:space="preserve">C., </w:t>
      </w:r>
      <w:r>
        <w:rPr>
          <w:rFonts w:ascii="Arial" w:hAnsi="Arial" w:cs="Arial"/>
          <w:sz w:val="20"/>
          <w:szCs w:val="20"/>
        </w:rPr>
        <w:t xml:space="preserve">Kumar, </w:t>
      </w:r>
      <w:r w:rsidR="00A7756B">
        <w:rPr>
          <w:rFonts w:ascii="Arial" w:hAnsi="Arial" w:cs="Arial"/>
          <w:sz w:val="20"/>
          <w:szCs w:val="20"/>
        </w:rPr>
        <w:t xml:space="preserve">S., </w:t>
      </w:r>
      <w:r>
        <w:rPr>
          <w:rFonts w:ascii="Arial" w:hAnsi="Arial" w:cs="Arial"/>
          <w:sz w:val="20"/>
          <w:szCs w:val="20"/>
        </w:rPr>
        <w:t>Lees</w:t>
      </w:r>
      <w:r w:rsidR="004D0D46">
        <w:rPr>
          <w:rFonts w:ascii="Arial" w:hAnsi="Arial" w:cs="Arial"/>
          <w:sz w:val="20"/>
          <w:szCs w:val="20"/>
        </w:rPr>
        <w:t>, M.</w:t>
      </w:r>
      <w:r>
        <w:rPr>
          <w:rFonts w:ascii="Arial" w:hAnsi="Arial" w:cs="Arial"/>
          <w:sz w:val="20"/>
          <w:szCs w:val="20"/>
        </w:rPr>
        <w:t xml:space="preserve"> (U. Warwick, Physics) and Singleton</w:t>
      </w:r>
      <w:r w:rsidR="004D0D46">
        <w:rPr>
          <w:rFonts w:ascii="Arial" w:hAnsi="Arial" w:cs="Arial"/>
          <w:sz w:val="20"/>
          <w:szCs w:val="20"/>
        </w:rPr>
        <w:t>, J.</w:t>
      </w:r>
      <w:r>
        <w:rPr>
          <w:rFonts w:ascii="Arial" w:hAnsi="Arial" w:cs="Arial"/>
          <w:sz w:val="20"/>
          <w:szCs w:val="20"/>
        </w:rPr>
        <w:t xml:space="preserve"> (NHMFL, Los Alamos)</w:t>
      </w:r>
    </w:p>
    <w:p w14:paraId="28837349" w14:textId="77777777" w:rsidR="00A94FC4" w:rsidRPr="006B3824" w:rsidRDefault="00A94FC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55EA776F" w14:textId="159D6495" w:rsidR="00A94FC4" w:rsidRPr="002426D5" w:rsidRDefault="00A94FC4" w:rsidP="0042593A">
      <w:pPr>
        <w:tabs>
          <w:tab w:val="left" w:pos="360"/>
        </w:tabs>
        <w:outlineLvl w:val="0"/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Introduction</w:t>
      </w:r>
      <w:r w:rsidR="002426D5">
        <w:rPr>
          <w:rFonts w:ascii="Arial" w:hAnsi="Arial" w:cs="Arial"/>
          <w:b/>
          <w:sz w:val="20"/>
          <w:szCs w:val="20"/>
        </w:rPr>
        <w:t xml:space="preserve"> </w:t>
      </w:r>
    </w:p>
    <w:p w14:paraId="1EF4B4D8" w14:textId="5A09A03B" w:rsidR="002524EE" w:rsidRPr="006B3824" w:rsidRDefault="006B3824" w:rsidP="00B578C4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6B3824">
        <w:rPr>
          <w:rFonts w:ascii="Arial" w:hAnsi="Arial" w:cs="Arial"/>
          <w:sz w:val="20"/>
          <w:szCs w:val="20"/>
        </w:rPr>
        <w:tab/>
      </w:r>
      <w:r w:rsidR="00B578C4">
        <w:rPr>
          <w:rFonts w:ascii="Arial" w:hAnsi="Arial" w:cs="Arial"/>
          <w:sz w:val="20"/>
          <w:szCs w:val="20"/>
        </w:rPr>
        <w:t>RECo</w:t>
      </w:r>
      <w:r w:rsidR="00B578C4" w:rsidRPr="001B3A9E">
        <w:rPr>
          <w:rFonts w:ascii="Arial" w:hAnsi="Arial" w:cs="Arial"/>
          <w:sz w:val="20"/>
          <w:szCs w:val="20"/>
          <w:vertAlign w:val="subscript"/>
        </w:rPr>
        <w:t>5</w:t>
      </w:r>
      <w:r w:rsidR="00B578C4">
        <w:rPr>
          <w:rFonts w:ascii="Arial" w:hAnsi="Arial" w:cs="Arial"/>
          <w:sz w:val="20"/>
          <w:szCs w:val="20"/>
        </w:rPr>
        <w:t xml:space="preserve"> </w:t>
      </w:r>
      <w:r w:rsidR="00D43069">
        <w:rPr>
          <w:rFonts w:ascii="Arial" w:hAnsi="Arial" w:cs="Arial"/>
          <w:sz w:val="20"/>
          <w:szCs w:val="20"/>
        </w:rPr>
        <w:t xml:space="preserve">materials </w:t>
      </w:r>
      <w:r w:rsidR="00B578C4">
        <w:rPr>
          <w:rFonts w:ascii="Arial" w:hAnsi="Arial" w:cs="Arial"/>
          <w:sz w:val="20"/>
          <w:szCs w:val="20"/>
        </w:rPr>
        <w:t>(RE = rare earth)</w:t>
      </w:r>
      <w:r w:rsidR="00FC451E">
        <w:rPr>
          <w:rFonts w:ascii="Arial" w:hAnsi="Arial" w:cs="Arial"/>
          <w:sz w:val="20"/>
          <w:szCs w:val="20"/>
        </w:rPr>
        <w:t xml:space="preserve"> </w:t>
      </w:r>
      <w:r w:rsidR="00D43069">
        <w:rPr>
          <w:rFonts w:ascii="Arial" w:hAnsi="Arial" w:cs="Arial"/>
          <w:sz w:val="20"/>
          <w:szCs w:val="20"/>
        </w:rPr>
        <w:t>host strong Co magnetism</w:t>
      </w:r>
      <w:r w:rsidR="00B578C4">
        <w:rPr>
          <w:rFonts w:ascii="Arial" w:hAnsi="Arial" w:cs="Arial"/>
          <w:sz w:val="20"/>
          <w:szCs w:val="20"/>
        </w:rPr>
        <w:t xml:space="preserve"> </w:t>
      </w:r>
      <w:r w:rsidR="00D43069">
        <w:rPr>
          <w:rFonts w:ascii="Arial" w:hAnsi="Arial" w:cs="Arial"/>
          <w:sz w:val="20"/>
          <w:szCs w:val="20"/>
        </w:rPr>
        <w:t>together with h</w:t>
      </w:r>
      <w:r w:rsidR="00FC451E">
        <w:rPr>
          <w:rFonts w:ascii="Arial" w:hAnsi="Arial" w:cs="Arial"/>
          <w:sz w:val="20"/>
          <w:szCs w:val="20"/>
        </w:rPr>
        <w:t>ighly anisotropic 4</w:t>
      </w:r>
      <w:r w:rsidR="00FC451E" w:rsidRPr="001B3A9E">
        <w:rPr>
          <w:rFonts w:ascii="Arial" w:hAnsi="Arial" w:cs="Arial"/>
          <w:i/>
          <w:sz w:val="20"/>
          <w:szCs w:val="20"/>
        </w:rPr>
        <w:t>f</w:t>
      </w:r>
      <w:r w:rsidR="00FC451E">
        <w:rPr>
          <w:rFonts w:ascii="Arial" w:hAnsi="Arial" w:cs="Arial"/>
          <w:sz w:val="20"/>
          <w:szCs w:val="20"/>
        </w:rPr>
        <w:t xml:space="preserve"> electrons. Early work on SmCo</w:t>
      </w:r>
      <w:r w:rsidR="00FC451E" w:rsidRPr="001B3A9E">
        <w:rPr>
          <w:rFonts w:ascii="Arial" w:hAnsi="Arial" w:cs="Arial"/>
          <w:sz w:val="20"/>
          <w:szCs w:val="20"/>
          <w:vertAlign w:val="subscript"/>
        </w:rPr>
        <w:t>5</w:t>
      </w:r>
      <w:r w:rsidR="00FC451E">
        <w:rPr>
          <w:rFonts w:ascii="Arial" w:hAnsi="Arial" w:cs="Arial"/>
          <w:sz w:val="20"/>
          <w:szCs w:val="20"/>
        </w:rPr>
        <w:t xml:space="preserve"> </w:t>
      </w:r>
      <w:r w:rsidR="001B3A9E">
        <w:rPr>
          <w:rFonts w:ascii="Arial" w:hAnsi="Arial" w:cs="Arial"/>
          <w:sz w:val="20"/>
          <w:szCs w:val="20"/>
        </w:rPr>
        <w:t>led to the</w:t>
      </w:r>
      <w:r w:rsidR="00D43069">
        <w:rPr>
          <w:rFonts w:ascii="Arial" w:hAnsi="Arial" w:cs="Arial"/>
          <w:sz w:val="20"/>
          <w:szCs w:val="20"/>
        </w:rPr>
        <w:t xml:space="preserve"> development of </w:t>
      </w:r>
      <w:r w:rsidR="00FC451E">
        <w:rPr>
          <w:rFonts w:ascii="Arial" w:hAnsi="Arial" w:cs="Arial"/>
          <w:sz w:val="20"/>
          <w:szCs w:val="20"/>
        </w:rPr>
        <w:t xml:space="preserve">the </w:t>
      </w:r>
      <w:r w:rsidR="00D43069">
        <w:rPr>
          <w:rFonts w:ascii="Arial" w:hAnsi="Arial" w:cs="Arial"/>
          <w:sz w:val="20"/>
          <w:szCs w:val="20"/>
        </w:rPr>
        <w:t xml:space="preserve">strong permanent </w:t>
      </w:r>
      <w:r w:rsidR="00F26F24">
        <w:rPr>
          <w:rFonts w:ascii="Arial" w:hAnsi="Arial" w:cs="Arial"/>
          <w:sz w:val="20"/>
          <w:szCs w:val="20"/>
        </w:rPr>
        <w:t xml:space="preserve">magnets </w:t>
      </w:r>
      <w:r w:rsidR="00FC451E">
        <w:rPr>
          <w:rFonts w:ascii="Arial" w:hAnsi="Arial" w:cs="Arial"/>
          <w:sz w:val="20"/>
          <w:szCs w:val="20"/>
        </w:rPr>
        <w:t>now used extensively for commercial application</w:t>
      </w:r>
      <w:r w:rsidR="00221693">
        <w:rPr>
          <w:rFonts w:ascii="Arial" w:hAnsi="Arial" w:cs="Arial"/>
          <w:sz w:val="20"/>
          <w:szCs w:val="20"/>
        </w:rPr>
        <w:t xml:space="preserve"> [1]</w:t>
      </w:r>
      <w:r w:rsidR="00FC451E">
        <w:rPr>
          <w:rFonts w:ascii="Arial" w:hAnsi="Arial" w:cs="Arial"/>
          <w:sz w:val="20"/>
          <w:szCs w:val="20"/>
        </w:rPr>
        <w:t xml:space="preserve">. </w:t>
      </w:r>
      <w:r w:rsidR="001B3A9E">
        <w:rPr>
          <w:rFonts w:ascii="Arial" w:hAnsi="Arial" w:cs="Arial"/>
          <w:sz w:val="20"/>
          <w:szCs w:val="20"/>
        </w:rPr>
        <w:t>Recent advances in first-principle</w:t>
      </w:r>
      <w:r w:rsidR="00F26F24">
        <w:rPr>
          <w:rFonts w:ascii="Arial" w:hAnsi="Arial" w:cs="Arial"/>
          <w:sz w:val="20"/>
          <w:szCs w:val="20"/>
        </w:rPr>
        <w:t>s</w:t>
      </w:r>
      <w:r w:rsidR="001B3A9E">
        <w:rPr>
          <w:rFonts w:ascii="Arial" w:hAnsi="Arial" w:cs="Arial"/>
          <w:sz w:val="20"/>
          <w:szCs w:val="20"/>
        </w:rPr>
        <w:t xml:space="preserve"> calculations have provided the ability to model the complex interplay of interactions in these materials</w:t>
      </w:r>
      <w:r w:rsidR="00221693">
        <w:rPr>
          <w:rFonts w:ascii="Arial" w:hAnsi="Arial" w:cs="Arial"/>
          <w:sz w:val="20"/>
          <w:szCs w:val="20"/>
        </w:rPr>
        <w:t xml:space="preserve"> [2]</w:t>
      </w:r>
      <w:r w:rsidR="001B3A9E">
        <w:rPr>
          <w:rFonts w:ascii="Arial" w:hAnsi="Arial" w:cs="Arial"/>
          <w:sz w:val="20"/>
          <w:szCs w:val="20"/>
        </w:rPr>
        <w:t xml:space="preserve">. In order to inform and extend </w:t>
      </w:r>
      <w:r w:rsidR="00F26F24">
        <w:rPr>
          <w:rFonts w:ascii="Arial" w:hAnsi="Arial" w:cs="Arial"/>
          <w:sz w:val="20"/>
          <w:szCs w:val="20"/>
        </w:rPr>
        <w:t xml:space="preserve">the calculations we </w:t>
      </w:r>
      <w:r w:rsidR="001B3A9E">
        <w:rPr>
          <w:rFonts w:ascii="Arial" w:hAnsi="Arial" w:cs="Arial"/>
          <w:sz w:val="20"/>
          <w:szCs w:val="20"/>
        </w:rPr>
        <w:t>measure</w:t>
      </w:r>
      <w:r w:rsidR="00F26F24">
        <w:rPr>
          <w:rFonts w:ascii="Arial" w:hAnsi="Arial" w:cs="Arial"/>
          <w:sz w:val="20"/>
          <w:szCs w:val="20"/>
        </w:rPr>
        <w:t>d the high-</w:t>
      </w:r>
      <w:r w:rsidR="001B3A9E">
        <w:rPr>
          <w:rFonts w:ascii="Arial" w:hAnsi="Arial" w:cs="Arial"/>
          <w:sz w:val="20"/>
          <w:szCs w:val="20"/>
        </w:rPr>
        <w:t>field properties of GdCo</w:t>
      </w:r>
      <w:r w:rsidR="001B3A9E" w:rsidRPr="001B3A9E">
        <w:rPr>
          <w:rFonts w:ascii="Arial" w:hAnsi="Arial" w:cs="Arial"/>
          <w:sz w:val="20"/>
          <w:szCs w:val="20"/>
          <w:vertAlign w:val="subscript"/>
        </w:rPr>
        <w:t>5</w:t>
      </w:r>
      <w:r w:rsidR="001B3A9E">
        <w:rPr>
          <w:rFonts w:ascii="Arial" w:hAnsi="Arial" w:cs="Arial"/>
          <w:sz w:val="20"/>
          <w:szCs w:val="20"/>
        </w:rPr>
        <w:t>.</w:t>
      </w:r>
      <w:r w:rsidR="00302BBC">
        <w:rPr>
          <w:rFonts w:ascii="Arial" w:hAnsi="Arial" w:cs="Arial"/>
          <w:sz w:val="20"/>
          <w:szCs w:val="20"/>
        </w:rPr>
        <w:t xml:space="preserve"> This </w:t>
      </w:r>
      <w:r w:rsidR="009E123C">
        <w:rPr>
          <w:rFonts w:ascii="Arial" w:hAnsi="Arial" w:cs="Arial"/>
          <w:sz w:val="20"/>
          <w:szCs w:val="20"/>
        </w:rPr>
        <w:t>system</w:t>
      </w:r>
      <w:r w:rsidR="00302BBC">
        <w:rPr>
          <w:rFonts w:ascii="Arial" w:hAnsi="Arial" w:cs="Arial"/>
          <w:sz w:val="20"/>
          <w:szCs w:val="20"/>
        </w:rPr>
        <w:t xml:space="preserve"> exhibits a collinear ferrimagnetic</w:t>
      </w:r>
      <w:r w:rsidR="007C0813" w:rsidRPr="006B3824">
        <w:rPr>
          <w:rFonts w:ascii="Arial" w:hAnsi="Arial" w:cs="Arial"/>
          <w:sz w:val="20"/>
          <w:szCs w:val="20"/>
        </w:rPr>
        <w:t xml:space="preserve"> </w:t>
      </w:r>
      <w:r w:rsidR="009E123C">
        <w:rPr>
          <w:rFonts w:ascii="Arial" w:hAnsi="Arial" w:cs="Arial"/>
          <w:sz w:val="20"/>
          <w:szCs w:val="20"/>
        </w:rPr>
        <w:t>state at low fields</w:t>
      </w:r>
      <w:r w:rsidR="00F26F24">
        <w:rPr>
          <w:rFonts w:ascii="Arial" w:hAnsi="Arial" w:cs="Arial"/>
          <w:sz w:val="20"/>
          <w:szCs w:val="20"/>
        </w:rPr>
        <w:t xml:space="preserve"> and</w:t>
      </w:r>
      <w:r w:rsidR="009E123C">
        <w:rPr>
          <w:rFonts w:ascii="Arial" w:hAnsi="Arial" w:cs="Arial"/>
          <w:sz w:val="20"/>
          <w:szCs w:val="20"/>
        </w:rPr>
        <w:t xml:space="preserve"> is known to undergo a spin reorientation above 40 T [3]. </w:t>
      </w:r>
      <w:r w:rsidR="00D66677">
        <w:rPr>
          <w:rFonts w:ascii="Arial" w:hAnsi="Arial" w:cs="Arial"/>
          <w:sz w:val="20"/>
          <w:szCs w:val="20"/>
        </w:rPr>
        <w:t>Observation of</w:t>
      </w:r>
      <w:r w:rsidR="00F26F24">
        <w:rPr>
          <w:rFonts w:ascii="Arial" w:hAnsi="Arial" w:cs="Arial"/>
          <w:sz w:val="20"/>
          <w:szCs w:val="20"/>
        </w:rPr>
        <w:t xml:space="preserve"> this</w:t>
      </w:r>
      <w:r w:rsidR="009E123C">
        <w:rPr>
          <w:rFonts w:ascii="Arial" w:hAnsi="Arial" w:cs="Arial"/>
          <w:sz w:val="20"/>
          <w:szCs w:val="20"/>
        </w:rPr>
        <w:t xml:space="preserve"> reorientation allows the Co</w:t>
      </w:r>
      <w:r w:rsidR="00F26F24">
        <w:rPr>
          <w:rFonts w:ascii="Arial" w:hAnsi="Arial" w:cs="Arial"/>
          <w:sz w:val="20"/>
          <w:szCs w:val="20"/>
        </w:rPr>
        <w:t>-</w:t>
      </w:r>
      <w:r w:rsidR="009E123C">
        <w:rPr>
          <w:rFonts w:ascii="Arial" w:hAnsi="Arial" w:cs="Arial"/>
          <w:sz w:val="20"/>
          <w:szCs w:val="20"/>
        </w:rPr>
        <w:t>Gd and Gd</w:t>
      </w:r>
      <w:r w:rsidR="00F26F24">
        <w:rPr>
          <w:rFonts w:ascii="Arial" w:hAnsi="Arial" w:cs="Arial"/>
          <w:sz w:val="20"/>
          <w:szCs w:val="20"/>
        </w:rPr>
        <w:t>-</w:t>
      </w:r>
      <w:r w:rsidR="009E123C">
        <w:rPr>
          <w:rFonts w:ascii="Arial" w:hAnsi="Arial" w:cs="Arial"/>
          <w:sz w:val="20"/>
          <w:szCs w:val="20"/>
        </w:rPr>
        <w:t>Gd exchange energies to be established and compared to first-principles calculations.</w:t>
      </w:r>
    </w:p>
    <w:p w14:paraId="2CCA7BF1" w14:textId="77777777" w:rsidR="00B75DC9" w:rsidRDefault="00B75DC9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</w:p>
    <w:p w14:paraId="6F018C3D" w14:textId="6E378C5E" w:rsidR="002524EE" w:rsidRPr="006B3824" w:rsidRDefault="002524EE" w:rsidP="0042593A">
      <w:pPr>
        <w:tabs>
          <w:tab w:val="left" w:pos="360"/>
        </w:tabs>
        <w:outlineLvl w:val="0"/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Experimental</w:t>
      </w:r>
      <w:r w:rsidR="00734E94">
        <w:rPr>
          <w:rFonts w:ascii="Arial" w:hAnsi="Arial" w:cs="Arial"/>
          <w:b/>
          <w:sz w:val="20"/>
          <w:szCs w:val="20"/>
        </w:rPr>
        <w:t xml:space="preserve"> </w:t>
      </w:r>
    </w:p>
    <w:p w14:paraId="296DE923" w14:textId="65A0AA38" w:rsidR="00FB4399" w:rsidRDefault="000C4F9D" w:rsidP="00FB4399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99C241" wp14:editId="108998B8">
                <wp:simplePos x="0" y="0"/>
                <wp:positionH relativeFrom="column">
                  <wp:posOffset>3047365</wp:posOffset>
                </wp:positionH>
                <wp:positionV relativeFrom="paragraph">
                  <wp:posOffset>332105</wp:posOffset>
                </wp:positionV>
                <wp:extent cx="3682365" cy="5614035"/>
                <wp:effectExtent l="0" t="0" r="635" b="0"/>
                <wp:wrapThrough wrapText="bothSides">
                  <wp:wrapPolygon edited="0">
                    <wp:start x="0" y="0"/>
                    <wp:lineTo x="0" y="21500"/>
                    <wp:lineTo x="21455" y="21500"/>
                    <wp:lineTo x="21455" y="0"/>
                    <wp:lineTo x="0" y="0"/>
                  </wp:wrapPolygon>
                </wp:wrapThrough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2365" cy="5614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202FF" w14:textId="26A0E99B" w:rsidR="00EF432F" w:rsidRDefault="00EF432F" w:rsidP="00456F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  <w:lang w:eastAsia="en-US"/>
                              </w:rPr>
                              <w:drawing>
                                <wp:inline distT="0" distB="0" distL="0" distR="0" wp14:anchorId="34DF05D2" wp14:editId="30E91BAF">
                                  <wp:extent cx="3228479" cy="247402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figure1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8449" cy="27345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56F80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  <w:lang w:eastAsia="en-US"/>
                              </w:rPr>
                              <w:drawing>
                                <wp:inline distT="0" distB="0" distL="0" distR="0" wp14:anchorId="062E96AF" wp14:editId="67E1519F">
                                  <wp:extent cx="3254163" cy="249486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figure1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5672" cy="25420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59C4C8" w14:textId="23CB5B82" w:rsidR="00EF432F" w:rsidRPr="00456F80" w:rsidRDefault="00EF432F" w:rsidP="00EF432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D3CD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Fig.1</w:t>
                            </w:r>
                            <w:r w:rsidRPr="00376D2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56F8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Magnetization of free-to-rotate GdCo5 at </w:t>
                            </w:r>
                            <w:r w:rsidR="00456F80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T</w:t>
                            </w:r>
                            <w:r w:rsidR="00456F8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= 1.5 K</w:t>
                            </w:r>
                            <w:r w:rsidR="000C4F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(upper</w:t>
                            </w:r>
                            <w:r w:rsidR="00456F8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 an</w:t>
                            </w:r>
                            <w:r w:rsidR="000C4F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 at various temperatures (lower</w:t>
                            </w:r>
                            <w:r w:rsidR="00456F8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). The arrows indicate the up and down field pulses. The low-field behavior </w:t>
                            </w:r>
                            <w:r w:rsidR="00456F80" w:rsidRPr="00456F8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on</w:t>
                            </w:r>
                            <w:r w:rsidR="00456F8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the up sweeps is caused by mechanical reorientation of the sample.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4C99C241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39.95pt;margin-top:26.15pt;width:289.95pt;height:442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" stroked="f">
                <v:textbox>
                  <w:txbxContent>
                    <w:p w14:paraId="2CA202FF" w14:textId="26A0E99B" w:rsidR="00EF432F" w:rsidRDefault="00EF432F" w:rsidP="00456F80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  <w:lang w:val="en-GB" w:eastAsia="en-GB"/>
                        </w:rPr>
                        <w:drawing>
                          <wp:inline distT="0" distB="0" distL="0" distR="0" wp14:anchorId="34DF05D2" wp14:editId="30E91BAF">
                            <wp:extent cx="3228479" cy="247402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figure1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8449" cy="27345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56F80"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  <w:lang w:val="en-GB" w:eastAsia="en-GB"/>
                        </w:rPr>
                        <w:drawing>
                          <wp:inline distT="0" distB="0" distL="0" distR="0" wp14:anchorId="062E96AF" wp14:editId="67E1519F">
                            <wp:extent cx="3254163" cy="249486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figure1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5672" cy="25420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59C4C8" w14:textId="23CB5B82" w:rsidR="00EF432F" w:rsidRPr="00456F80" w:rsidRDefault="00EF432F" w:rsidP="00EF432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D3CD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Fig.1</w:t>
                      </w:r>
                      <w:r w:rsidRPr="00376D2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456F8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Magnetization of free-to-rotate GdCo5 at </w:t>
                      </w:r>
                      <w:r w:rsidR="00456F80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T</w:t>
                      </w:r>
                      <w:r w:rsidR="00456F8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= 1.5 K</w:t>
                      </w:r>
                      <w:r w:rsidR="000C4F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(upper</w:t>
                      </w:r>
                      <w:r w:rsidR="00456F80">
                        <w:rPr>
                          <w:rFonts w:ascii="Arial" w:hAnsi="Arial" w:cs="Arial"/>
                          <w:sz w:val="18"/>
                          <w:szCs w:val="18"/>
                        </w:rPr>
                        <w:t>) an</w:t>
                      </w:r>
                      <w:r w:rsidR="000C4F9D">
                        <w:rPr>
                          <w:rFonts w:ascii="Arial" w:hAnsi="Arial" w:cs="Arial"/>
                          <w:sz w:val="18"/>
                          <w:szCs w:val="18"/>
                        </w:rPr>
                        <w:t>d at various temperatures (lower</w:t>
                      </w:r>
                      <w:r w:rsidR="00456F8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). The arrows indicate the up and down field pulses. The low-field behavior </w:t>
                      </w:r>
                      <w:r w:rsidR="00456F80" w:rsidRPr="00456F80">
                        <w:rPr>
                          <w:rFonts w:ascii="Arial" w:hAnsi="Arial" w:cs="Arial"/>
                          <w:sz w:val="18"/>
                          <w:szCs w:val="18"/>
                        </w:rPr>
                        <w:t>on</w:t>
                      </w:r>
                      <w:r w:rsidR="00456F8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the up sweeps is caused by mechanical reorientation of the sample.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B3824">
        <w:rPr>
          <w:rFonts w:ascii="Arial" w:hAnsi="Arial" w:cs="Arial"/>
          <w:sz w:val="20"/>
          <w:szCs w:val="20"/>
        </w:rPr>
        <w:tab/>
      </w:r>
      <w:r w:rsidR="00BF00B2">
        <w:rPr>
          <w:rFonts w:ascii="Arial" w:hAnsi="Arial" w:cs="Arial"/>
          <w:sz w:val="20"/>
          <w:szCs w:val="20"/>
        </w:rPr>
        <w:t>Isothermal magnetization measurements</w:t>
      </w:r>
      <w:r w:rsidR="002524EE" w:rsidRPr="006B3824">
        <w:rPr>
          <w:rFonts w:ascii="Arial" w:hAnsi="Arial" w:cs="Arial"/>
          <w:sz w:val="20"/>
          <w:szCs w:val="20"/>
        </w:rPr>
        <w:t xml:space="preserve"> </w:t>
      </w:r>
      <w:r w:rsidR="00BF00B2">
        <w:rPr>
          <w:rFonts w:ascii="Arial" w:hAnsi="Arial" w:cs="Arial"/>
          <w:sz w:val="20"/>
          <w:szCs w:val="20"/>
        </w:rPr>
        <w:t>were performed in a 65 T short pulse magnet at NHMFL-LANL using a compensated-coil magnetometer</w:t>
      </w:r>
      <w:r w:rsidR="00C225AE">
        <w:rPr>
          <w:rFonts w:ascii="Arial" w:hAnsi="Arial" w:cs="Arial"/>
          <w:sz w:val="20"/>
          <w:szCs w:val="20"/>
        </w:rPr>
        <w:t xml:space="preserve"> located in a </w:t>
      </w:r>
      <w:r w:rsidR="00C225AE" w:rsidRPr="00C225AE">
        <w:rPr>
          <w:rFonts w:ascii="Arial" w:hAnsi="Arial" w:cs="Arial"/>
          <w:sz w:val="20"/>
          <w:szCs w:val="20"/>
          <w:vertAlign w:val="superscript"/>
        </w:rPr>
        <w:t>4</w:t>
      </w:r>
      <w:r w:rsidR="00C225AE">
        <w:rPr>
          <w:rFonts w:ascii="Arial" w:hAnsi="Arial" w:cs="Arial"/>
          <w:sz w:val="20"/>
          <w:szCs w:val="20"/>
        </w:rPr>
        <w:t>He refrigerator</w:t>
      </w:r>
      <w:r w:rsidR="00BF20B5">
        <w:rPr>
          <w:rFonts w:ascii="Arial" w:hAnsi="Arial" w:cs="Arial"/>
          <w:sz w:val="20"/>
          <w:szCs w:val="20"/>
        </w:rPr>
        <w:t xml:space="preserve">. </w:t>
      </w:r>
      <w:r w:rsidR="001F3014">
        <w:rPr>
          <w:rFonts w:ascii="Arial" w:hAnsi="Arial" w:cs="Arial"/>
          <w:sz w:val="20"/>
          <w:szCs w:val="20"/>
        </w:rPr>
        <w:t>A small (~1 mm</w:t>
      </w:r>
      <w:r w:rsidR="001F3014" w:rsidRPr="001F3014">
        <w:rPr>
          <w:rFonts w:ascii="Arial" w:hAnsi="Arial" w:cs="Arial"/>
          <w:sz w:val="20"/>
          <w:szCs w:val="20"/>
          <w:vertAlign w:val="superscript"/>
        </w:rPr>
        <w:t>3</w:t>
      </w:r>
      <w:r w:rsidR="001F3014">
        <w:rPr>
          <w:rFonts w:ascii="Arial" w:hAnsi="Arial" w:cs="Arial"/>
          <w:sz w:val="20"/>
          <w:szCs w:val="20"/>
        </w:rPr>
        <w:t xml:space="preserve">) plate-like single crystal was housed in a PCTFE ampoule and permitted to rotate freely during </w:t>
      </w:r>
      <w:r w:rsidR="00F26F24">
        <w:rPr>
          <w:rFonts w:ascii="Arial" w:hAnsi="Arial" w:cs="Arial"/>
          <w:sz w:val="20"/>
          <w:szCs w:val="20"/>
        </w:rPr>
        <w:t>the</w:t>
      </w:r>
      <w:r w:rsidR="001F3014">
        <w:rPr>
          <w:rFonts w:ascii="Arial" w:hAnsi="Arial" w:cs="Arial"/>
          <w:sz w:val="20"/>
          <w:szCs w:val="20"/>
        </w:rPr>
        <w:t xml:space="preserve"> field pulse</w:t>
      </w:r>
      <w:r w:rsidR="00BD6A60">
        <w:rPr>
          <w:rFonts w:ascii="Arial" w:hAnsi="Arial" w:cs="Arial"/>
          <w:sz w:val="20"/>
          <w:szCs w:val="20"/>
        </w:rPr>
        <w:t>.</w:t>
      </w:r>
      <w:r w:rsidR="001F3014">
        <w:rPr>
          <w:rFonts w:ascii="Arial" w:hAnsi="Arial" w:cs="Arial"/>
          <w:sz w:val="20"/>
          <w:szCs w:val="20"/>
        </w:rPr>
        <w:t xml:space="preserve">  </w:t>
      </w:r>
    </w:p>
    <w:p w14:paraId="7895A99F" w14:textId="0F87BE6A" w:rsidR="002524EE" w:rsidRPr="006B3824" w:rsidRDefault="002524EE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209924A9" w14:textId="309C560D" w:rsidR="002524EE" w:rsidRPr="006B3824" w:rsidRDefault="002524EE" w:rsidP="0042593A">
      <w:pPr>
        <w:tabs>
          <w:tab w:val="left" w:pos="360"/>
        </w:tabs>
        <w:outlineLvl w:val="0"/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Results and Discussion</w:t>
      </w:r>
    </w:p>
    <w:p w14:paraId="2E203073" w14:textId="78CCA946" w:rsidR="00E25473" w:rsidRDefault="006414A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0C4F9D">
        <w:rPr>
          <w:rFonts w:ascii="Arial" w:hAnsi="Arial" w:cs="Arial"/>
          <w:sz w:val="20"/>
          <w:szCs w:val="20"/>
        </w:rPr>
        <w:t>The upper</w:t>
      </w:r>
      <w:r>
        <w:rPr>
          <w:rFonts w:ascii="Arial" w:hAnsi="Arial" w:cs="Arial"/>
          <w:sz w:val="20"/>
          <w:szCs w:val="20"/>
        </w:rPr>
        <w:t xml:space="preserve"> panel of Figure 1 shows the magnetization data</w:t>
      </w:r>
      <w:r w:rsidR="00C225AE">
        <w:rPr>
          <w:rFonts w:ascii="Arial" w:hAnsi="Arial" w:cs="Arial"/>
          <w:sz w:val="20"/>
          <w:szCs w:val="20"/>
        </w:rPr>
        <w:t xml:space="preserve"> taken during consecutive </w:t>
      </w:r>
      <w:r>
        <w:rPr>
          <w:rFonts w:ascii="Arial" w:hAnsi="Arial" w:cs="Arial"/>
          <w:sz w:val="20"/>
          <w:szCs w:val="20"/>
        </w:rPr>
        <w:t>forward and reverse field</w:t>
      </w:r>
      <w:r w:rsidR="00C225AE">
        <w:rPr>
          <w:rFonts w:ascii="Arial" w:hAnsi="Arial" w:cs="Arial"/>
          <w:sz w:val="20"/>
          <w:szCs w:val="20"/>
        </w:rPr>
        <w:t xml:space="preserve"> pulses at 1.5 K. The low-field behavior on the up sweep is caused by the initial mechanical motion of the sample as the easy axis aligns with the applied magnetic field. At slightly higher fields a plateau-like feature is observed that corresponds to the saturated moment of the </w:t>
      </w:r>
      <w:r w:rsidR="00F26F24">
        <w:rPr>
          <w:rFonts w:ascii="Arial" w:hAnsi="Arial" w:cs="Arial"/>
          <w:sz w:val="20"/>
          <w:szCs w:val="20"/>
        </w:rPr>
        <w:t>ferri</w:t>
      </w:r>
      <w:r w:rsidR="00C225AE">
        <w:rPr>
          <w:rFonts w:ascii="Arial" w:hAnsi="Arial" w:cs="Arial"/>
          <w:sz w:val="20"/>
          <w:szCs w:val="20"/>
        </w:rPr>
        <w:t>magnetic phase</w:t>
      </w:r>
      <w:r w:rsidR="00F26F24">
        <w:rPr>
          <w:rFonts w:ascii="Arial" w:hAnsi="Arial" w:cs="Arial"/>
          <w:sz w:val="20"/>
          <w:szCs w:val="20"/>
        </w:rPr>
        <w:t xml:space="preserve"> [2,3]. The magnetization kink observed at approximately 40 T is indicative of the expected spin reorientation. </w:t>
      </w:r>
      <w:r w:rsidR="000C4F9D">
        <w:rPr>
          <w:rFonts w:ascii="Arial" w:hAnsi="Arial" w:cs="Arial"/>
          <w:sz w:val="20"/>
          <w:szCs w:val="20"/>
        </w:rPr>
        <w:t>The lower</w:t>
      </w:r>
      <w:r w:rsidR="00C225AE">
        <w:rPr>
          <w:rFonts w:ascii="Arial" w:hAnsi="Arial" w:cs="Arial"/>
          <w:sz w:val="20"/>
          <w:szCs w:val="20"/>
        </w:rPr>
        <w:t xml:space="preserve"> panel shows </w:t>
      </w:r>
      <w:r w:rsidR="00F26F24">
        <w:rPr>
          <w:rFonts w:ascii="Arial" w:hAnsi="Arial" w:cs="Arial"/>
          <w:sz w:val="20"/>
          <w:szCs w:val="20"/>
        </w:rPr>
        <w:t xml:space="preserve">further </w:t>
      </w:r>
      <w:r w:rsidR="00C225AE">
        <w:rPr>
          <w:rFonts w:ascii="Arial" w:hAnsi="Arial" w:cs="Arial"/>
          <w:sz w:val="20"/>
          <w:szCs w:val="20"/>
        </w:rPr>
        <w:t xml:space="preserve">data taken at various temperatures up to 100 K. </w:t>
      </w:r>
    </w:p>
    <w:p w14:paraId="23EF8971" w14:textId="76BAC811" w:rsidR="00BD6A60" w:rsidRPr="006B3824" w:rsidRDefault="00BD6A60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3778697A" w14:textId="14D90706" w:rsidR="00E25473" w:rsidRPr="006B3824" w:rsidRDefault="00E25473" w:rsidP="0042593A">
      <w:pPr>
        <w:tabs>
          <w:tab w:val="left" w:pos="360"/>
        </w:tabs>
        <w:outlineLvl w:val="0"/>
        <w:rPr>
          <w:rFonts w:ascii="Arial" w:hAnsi="Arial" w:cs="Arial"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Conclusions</w:t>
      </w:r>
    </w:p>
    <w:p w14:paraId="2173345B" w14:textId="6EB215AC" w:rsidR="00E25473" w:rsidRDefault="006B3824" w:rsidP="0042593A">
      <w:pPr>
        <w:tabs>
          <w:tab w:val="left" w:pos="360"/>
        </w:tabs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F26F24">
        <w:rPr>
          <w:rFonts w:ascii="Arial" w:hAnsi="Arial" w:cs="Arial"/>
          <w:sz w:val="20"/>
          <w:szCs w:val="20"/>
        </w:rPr>
        <w:t>At low temperatures the magnetization of free-to-rotate GdCo</w:t>
      </w:r>
      <w:r w:rsidR="00F26F24" w:rsidRPr="00F26F24">
        <w:rPr>
          <w:rFonts w:ascii="Arial" w:hAnsi="Arial" w:cs="Arial"/>
          <w:sz w:val="20"/>
          <w:szCs w:val="20"/>
          <w:vertAlign w:val="subscript"/>
        </w:rPr>
        <w:t>5</w:t>
      </w:r>
      <w:r w:rsidR="00E25473" w:rsidRPr="006B3824">
        <w:rPr>
          <w:rFonts w:ascii="Arial" w:hAnsi="Arial" w:cs="Arial"/>
          <w:sz w:val="20"/>
          <w:szCs w:val="20"/>
        </w:rPr>
        <w:t xml:space="preserve"> </w:t>
      </w:r>
      <w:r w:rsidR="00F26F24">
        <w:rPr>
          <w:rFonts w:ascii="Arial" w:hAnsi="Arial" w:cs="Arial"/>
          <w:sz w:val="20"/>
          <w:szCs w:val="20"/>
        </w:rPr>
        <w:t xml:space="preserve">exhibits the features expected from the ferrimagnetic ground state and the field-induced spin reorientation. A comprehensive analysis of the experimental data is underway, together with a comparison to the results of first-principles calculations. </w:t>
      </w:r>
    </w:p>
    <w:p w14:paraId="5BAC4207" w14:textId="380EE265" w:rsidR="00734E94" w:rsidRPr="006B3824" w:rsidRDefault="00734E9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7A6DDE81" w14:textId="7AD06930" w:rsidR="00FB4399" w:rsidRDefault="00E25473" w:rsidP="0042593A">
      <w:pPr>
        <w:tabs>
          <w:tab w:val="left" w:pos="360"/>
        </w:tabs>
        <w:outlineLvl w:val="0"/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Acknowledgements</w:t>
      </w:r>
    </w:p>
    <w:p w14:paraId="63FE0481" w14:textId="09B4849E" w:rsidR="00491C5D" w:rsidRPr="00C225AE" w:rsidRDefault="00FB4399" w:rsidP="004D0D46">
      <w:pPr>
        <w:ind w:firstLine="360"/>
        <w:rPr>
          <w:rFonts w:eastAsia="Times New Roman"/>
          <w:lang w:val="en-GB" w:eastAsia="en-GB"/>
        </w:rPr>
      </w:pPr>
      <w:bookmarkStart w:id="0" w:name="_GoBack"/>
      <w:bookmarkEnd w:id="0"/>
      <w:r w:rsidRPr="00334CEB">
        <w:rPr>
          <w:rFonts w:ascii="Arial" w:eastAsia="Times New Roman" w:hAnsi="Arial" w:cs="Arial"/>
          <w:sz w:val="20"/>
          <w:szCs w:val="20"/>
          <w:lang w:eastAsia="en-US"/>
        </w:rPr>
        <w:t>A portion of this work was performed at the National High Magnetic Field Laboratory, which is supported by National Science Foundation Coopera</w:t>
      </w:r>
      <w:r w:rsidR="003A1FF5">
        <w:rPr>
          <w:rFonts w:ascii="Arial" w:eastAsia="Times New Roman" w:hAnsi="Arial" w:cs="Arial"/>
          <w:sz w:val="20"/>
          <w:szCs w:val="20"/>
          <w:lang w:eastAsia="en-US"/>
        </w:rPr>
        <w:t>tive Agreement No. DMR-1157490</w:t>
      </w:r>
      <w:r w:rsidR="00A758E6">
        <w:rPr>
          <w:rFonts w:ascii="Arial" w:eastAsia="Times New Roman" w:hAnsi="Arial" w:cs="Arial"/>
          <w:sz w:val="20"/>
          <w:szCs w:val="20"/>
          <w:lang w:eastAsia="en-US"/>
        </w:rPr>
        <w:t xml:space="preserve"> and </w:t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>the Stat</w:t>
      </w:r>
      <w:r w:rsidR="00334CEB">
        <w:rPr>
          <w:rFonts w:ascii="Arial" w:eastAsia="Times New Roman" w:hAnsi="Arial" w:cs="Arial"/>
          <w:sz w:val="20"/>
          <w:szCs w:val="20"/>
          <w:lang w:eastAsia="en-US"/>
        </w:rPr>
        <w:t>e of Florida</w:t>
      </w:r>
      <w:r w:rsidR="00A758E6">
        <w:rPr>
          <w:rFonts w:ascii="Arial" w:eastAsia="Times New Roman" w:hAnsi="Arial" w:cs="Arial"/>
          <w:sz w:val="20"/>
          <w:szCs w:val="20"/>
          <w:lang w:eastAsia="en-US"/>
        </w:rPr>
        <w:t xml:space="preserve">. </w:t>
      </w:r>
      <w:r w:rsidR="00C225AE">
        <w:rPr>
          <w:rFonts w:ascii="Helvetica" w:eastAsia="Times New Roman" w:hAnsi="Helvetica"/>
          <w:color w:val="000000"/>
          <w:sz w:val="21"/>
          <w:szCs w:val="21"/>
        </w:rPr>
        <w:t>This project has received funding from the European Research Council (ERC) under the European Union’s Horizon 2020 research and innovation programme (grant agreement No. 681260).</w:t>
      </w:r>
      <w:r w:rsidR="00491C5D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</w:p>
    <w:p w14:paraId="47F43851" w14:textId="5510D9CB" w:rsidR="00E25473" w:rsidRPr="006B3824" w:rsidRDefault="00E25473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7F214E5E" w14:textId="79E9C9E0" w:rsidR="00E25473" w:rsidRPr="006B3824" w:rsidRDefault="00E25473" w:rsidP="0042593A">
      <w:pPr>
        <w:tabs>
          <w:tab w:val="left" w:pos="360"/>
        </w:tabs>
        <w:outlineLvl w:val="0"/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References</w:t>
      </w:r>
    </w:p>
    <w:p w14:paraId="1361A57A" w14:textId="63257991" w:rsidR="00376D2C" w:rsidRDefault="00221693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[1] Strnat, K. </w:t>
      </w:r>
      <w:r>
        <w:rPr>
          <w:rFonts w:ascii="Arial" w:hAnsi="Arial" w:cs="Arial"/>
          <w:i/>
          <w:sz w:val="20"/>
          <w:szCs w:val="20"/>
        </w:rPr>
        <w:t xml:space="preserve">et al., </w:t>
      </w:r>
      <w:r w:rsidR="009E123C">
        <w:rPr>
          <w:rFonts w:ascii="Arial" w:hAnsi="Arial" w:cs="Arial"/>
          <w:sz w:val="20"/>
          <w:szCs w:val="20"/>
        </w:rPr>
        <w:t>J. Appl. Phys.</w:t>
      </w:r>
      <w:r w:rsidRPr="00221693">
        <w:rPr>
          <w:rFonts w:ascii="Arial" w:hAnsi="Arial" w:cs="Arial"/>
          <w:sz w:val="20"/>
          <w:szCs w:val="20"/>
        </w:rPr>
        <w:t xml:space="preserve"> </w:t>
      </w:r>
      <w:r w:rsidRPr="00221693">
        <w:rPr>
          <w:rFonts w:ascii="Arial" w:hAnsi="Arial" w:cs="Arial"/>
          <w:b/>
          <w:sz w:val="20"/>
          <w:szCs w:val="20"/>
        </w:rPr>
        <w:t>38</w:t>
      </w:r>
      <w:r w:rsidRPr="00221693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1001 (1967). </w:t>
      </w:r>
      <w:r w:rsidR="001B3A9E">
        <w:rPr>
          <w:rFonts w:ascii="Arial" w:hAnsi="Arial" w:cs="Arial"/>
          <w:sz w:val="20"/>
          <w:szCs w:val="20"/>
        </w:rPr>
        <w:t>[2</w:t>
      </w:r>
      <w:r w:rsidR="008036E8">
        <w:rPr>
          <w:rFonts w:ascii="Arial" w:hAnsi="Arial" w:cs="Arial"/>
          <w:sz w:val="20"/>
          <w:szCs w:val="20"/>
        </w:rPr>
        <w:t>]</w:t>
      </w:r>
      <w:r w:rsidR="009E123C">
        <w:rPr>
          <w:rFonts w:ascii="Arial" w:hAnsi="Arial" w:cs="Arial"/>
          <w:sz w:val="20"/>
          <w:szCs w:val="20"/>
        </w:rPr>
        <w:t xml:space="preserve"> </w:t>
      </w:r>
      <w:r w:rsidR="001B3A9E">
        <w:rPr>
          <w:rFonts w:ascii="Arial" w:hAnsi="Arial" w:cs="Arial"/>
          <w:sz w:val="20"/>
          <w:szCs w:val="20"/>
        </w:rPr>
        <w:t>Patrick, C. E.</w:t>
      </w:r>
      <w:r w:rsidR="00E411D1" w:rsidRPr="006B3824">
        <w:rPr>
          <w:rFonts w:ascii="Arial" w:hAnsi="Arial" w:cs="Arial"/>
          <w:sz w:val="20"/>
          <w:szCs w:val="20"/>
        </w:rPr>
        <w:t xml:space="preserve"> </w:t>
      </w:r>
      <w:r w:rsidR="00E411D1" w:rsidRPr="006B3824">
        <w:rPr>
          <w:rFonts w:ascii="Arial" w:hAnsi="Arial" w:cs="Arial"/>
          <w:i/>
          <w:sz w:val="20"/>
          <w:szCs w:val="20"/>
        </w:rPr>
        <w:t>et al</w:t>
      </w:r>
      <w:r w:rsidR="00E411D1" w:rsidRPr="006B3824">
        <w:rPr>
          <w:rFonts w:ascii="Arial" w:hAnsi="Arial" w:cs="Arial"/>
          <w:sz w:val="20"/>
          <w:szCs w:val="20"/>
        </w:rPr>
        <w:t xml:space="preserve">., </w:t>
      </w:r>
      <w:r w:rsidR="001B3A9E">
        <w:rPr>
          <w:rFonts w:ascii="Arial" w:hAnsi="Arial" w:cs="Arial"/>
          <w:sz w:val="20"/>
          <w:szCs w:val="20"/>
        </w:rPr>
        <w:t>Phys. Rev. Materials</w:t>
      </w:r>
      <w:r w:rsidR="00E411D1" w:rsidRPr="006B3824">
        <w:rPr>
          <w:rFonts w:ascii="Arial" w:hAnsi="Arial" w:cs="Arial"/>
          <w:sz w:val="20"/>
          <w:szCs w:val="20"/>
        </w:rPr>
        <w:t xml:space="preserve"> </w:t>
      </w:r>
      <w:r w:rsidR="00E411D1" w:rsidRPr="006B3824">
        <w:rPr>
          <w:rFonts w:ascii="Arial" w:hAnsi="Arial" w:cs="Arial"/>
          <w:b/>
          <w:sz w:val="20"/>
          <w:szCs w:val="20"/>
        </w:rPr>
        <w:t>1</w:t>
      </w:r>
      <w:r w:rsidR="009648AC" w:rsidRPr="006B3824">
        <w:rPr>
          <w:rFonts w:ascii="Arial" w:hAnsi="Arial" w:cs="Arial"/>
          <w:sz w:val="20"/>
          <w:szCs w:val="20"/>
        </w:rPr>
        <w:t xml:space="preserve">, </w:t>
      </w:r>
      <w:r w:rsidR="001B3A9E">
        <w:rPr>
          <w:rFonts w:ascii="Arial" w:hAnsi="Arial" w:cs="Arial"/>
          <w:sz w:val="20"/>
          <w:szCs w:val="20"/>
        </w:rPr>
        <w:t>024411</w:t>
      </w:r>
      <w:r w:rsidR="009648AC" w:rsidRPr="006B3824">
        <w:rPr>
          <w:rFonts w:ascii="Arial" w:hAnsi="Arial" w:cs="Arial"/>
          <w:sz w:val="20"/>
          <w:szCs w:val="20"/>
        </w:rPr>
        <w:t xml:space="preserve"> (20</w:t>
      </w:r>
      <w:r w:rsidR="001B3A9E">
        <w:rPr>
          <w:rFonts w:ascii="Arial" w:hAnsi="Arial" w:cs="Arial"/>
          <w:sz w:val="20"/>
          <w:szCs w:val="20"/>
        </w:rPr>
        <w:t>17</w:t>
      </w:r>
      <w:r w:rsidR="00E411D1" w:rsidRPr="006B3824">
        <w:rPr>
          <w:rFonts w:ascii="Arial" w:hAnsi="Arial" w:cs="Arial"/>
          <w:sz w:val="20"/>
          <w:szCs w:val="20"/>
        </w:rPr>
        <w:t>).</w:t>
      </w:r>
    </w:p>
    <w:p w14:paraId="43E669F9" w14:textId="3E54E188" w:rsidR="00BB11C2" w:rsidRPr="004C7F49" w:rsidRDefault="009E123C" w:rsidP="0049187D">
      <w:pPr>
        <w:tabs>
          <w:tab w:val="left" w:pos="360"/>
        </w:tabs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[3] Kuz’min, M. D. </w:t>
      </w:r>
      <w:r>
        <w:rPr>
          <w:rFonts w:ascii="Arial" w:hAnsi="Arial" w:cs="Arial"/>
          <w:i/>
          <w:sz w:val="20"/>
          <w:szCs w:val="20"/>
        </w:rPr>
        <w:t>et al.</w:t>
      </w:r>
      <w:r>
        <w:rPr>
          <w:rFonts w:ascii="Arial" w:hAnsi="Arial" w:cs="Arial"/>
          <w:sz w:val="20"/>
          <w:szCs w:val="20"/>
        </w:rPr>
        <w:t xml:space="preserve">, Phys. Rev. B </w:t>
      </w:r>
      <w:r w:rsidRPr="009E123C">
        <w:rPr>
          <w:rFonts w:ascii="Arial" w:hAnsi="Arial" w:cs="Arial"/>
          <w:b/>
          <w:sz w:val="20"/>
          <w:szCs w:val="20"/>
        </w:rPr>
        <w:t>70</w:t>
      </w:r>
      <w:r>
        <w:rPr>
          <w:rFonts w:ascii="Arial" w:hAnsi="Arial" w:cs="Arial"/>
          <w:sz w:val="20"/>
          <w:szCs w:val="20"/>
        </w:rPr>
        <w:t>, 172412 (2004).</w:t>
      </w:r>
    </w:p>
    <w:sectPr w:rsidR="00BB11C2" w:rsidRPr="004C7F49" w:rsidSect="00450C97">
      <w:headerReference w:type="default" r:id="rId14"/>
      <w:pgSz w:w="12240" w:h="15840" w:code="1"/>
      <w:pgMar w:top="1155" w:right="1080" w:bottom="1080" w:left="1080" w:header="18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D2B495" w14:textId="77777777" w:rsidR="00BB6F2A" w:rsidRDefault="00BB6F2A">
      <w:r>
        <w:separator/>
      </w:r>
    </w:p>
  </w:endnote>
  <w:endnote w:type="continuationSeparator" w:id="0">
    <w:p w14:paraId="59F42667" w14:textId="77777777" w:rsidR="00BB6F2A" w:rsidRDefault="00BB6F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2822E8" w14:textId="77777777" w:rsidR="00BB6F2A" w:rsidRDefault="00BB6F2A">
      <w:r>
        <w:separator/>
      </w:r>
    </w:p>
  </w:footnote>
  <w:footnote w:type="continuationSeparator" w:id="0">
    <w:p w14:paraId="67AA12BE" w14:textId="77777777" w:rsidR="00BB6F2A" w:rsidRDefault="00BB6F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767703" w14:textId="77777777" w:rsidR="00F974C6" w:rsidRDefault="00BB11C2" w:rsidP="00F974C6">
    <w:pPr>
      <w:pStyle w:val="Header"/>
      <w:rPr>
        <w:rStyle w:val="BookTitle1"/>
        <w:rFonts w:ascii="Arial" w:hAnsi="Arial" w:cs="Arial"/>
        <w:color w:val="1F497D"/>
        <w:sz w:val="22"/>
        <w:szCs w:val="22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81CB4EA" wp14:editId="40554BDA">
              <wp:simplePos x="0" y="0"/>
              <wp:positionH relativeFrom="column">
                <wp:posOffset>1200150</wp:posOffset>
              </wp:positionH>
              <wp:positionV relativeFrom="paragraph">
                <wp:posOffset>66040</wp:posOffset>
              </wp:positionV>
              <wp:extent cx="3876675" cy="4292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42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51975B" w14:textId="77777777" w:rsidR="00F95583" w:rsidRPr="00091A2B" w:rsidRDefault="001E6BF4" w:rsidP="00F9558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</w:pPr>
                          <w:r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 xml:space="preserve">NATIONAL HIGH MAGNETIC FIELD </w:t>
                          </w:r>
                          <w:r w:rsidR="00A55035"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LABORATORY</w:t>
                          </w:r>
                        </w:p>
                        <w:p w14:paraId="40286AEE" w14:textId="77777777" w:rsidR="00F974C6" w:rsidRPr="00091A2B" w:rsidRDefault="001E6BF4" w:rsidP="001E6B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</w:pPr>
                          <w:r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201</w:t>
                          </w:r>
                          <w:r w:rsidR="00091A2B"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7</w:t>
                          </w:r>
                          <w:r w:rsidR="008A1D84"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 xml:space="preserve"> </w:t>
                          </w:r>
                          <w:r w:rsidR="00F974C6"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ANNUAL RESEARCH REPORT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381CB4EA" id="_x0000_t202" coordsize="21600,21600" o:spt="202" path="m0,0l0,21600,21600,21600,21600,0xe">
              <v:stroke joinstyle="miter"/>
              <v:path gradientshapeok="t" o:connecttype="rect"/>
            </v:shapetype>
            <v:shape id="_x0000_s1027" type="#_x0000_t202" style="position:absolute;margin-left:94.5pt;margin-top:5.2pt;width:305.25pt;height:3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" stroked="f">
              <v:textbox>
                <w:txbxContent>
                  <w:p w14:paraId="6751975B" w14:textId="77777777" w:rsidR="00F95583" w:rsidRPr="00091A2B" w:rsidRDefault="001E6BF4" w:rsidP="00F95583">
                    <w:pPr>
                      <w:jc w:val="center"/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</w:pPr>
                    <w:r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 xml:space="preserve">NATIONAL HIGH MAGNETIC FIELD </w:t>
                    </w:r>
                    <w:r w:rsidR="00A55035"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LABORATORY</w:t>
                    </w:r>
                  </w:p>
                  <w:p w14:paraId="40286AEE" w14:textId="77777777" w:rsidR="00F974C6" w:rsidRPr="00091A2B" w:rsidRDefault="001E6BF4" w:rsidP="001E6BF4">
                    <w:pPr>
                      <w:jc w:val="center"/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</w:pPr>
                    <w:r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201</w:t>
                    </w:r>
                    <w:r w:rsidR="00091A2B"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7</w:t>
                    </w:r>
                    <w:r w:rsidR="008A1D84"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 xml:space="preserve"> </w:t>
                    </w:r>
                    <w:r w:rsidR="00F974C6"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ANNUAL RESEARCH REPORT</w:t>
                    </w:r>
                  </w:p>
                </w:txbxContent>
              </v:textbox>
            </v:shape>
          </w:pict>
        </mc:Fallback>
      </mc:AlternateContent>
    </w:r>
    <w:r w:rsidRPr="00E60509">
      <w:rPr>
        <w:rFonts w:ascii="Arial" w:hAnsi="Arial" w:cs="Arial"/>
        <w:b/>
        <w:smallCaps/>
        <w:noProof/>
        <w:color w:val="1F497D"/>
        <w:spacing w:val="5"/>
        <w:sz w:val="22"/>
        <w:szCs w:val="22"/>
        <w:lang w:eastAsia="en-US"/>
      </w:rPr>
      <w:drawing>
        <wp:inline distT="0" distB="0" distL="0" distR="0" wp14:anchorId="234BB1AE" wp14:editId="29EC1EA1">
          <wp:extent cx="516890" cy="628015"/>
          <wp:effectExtent l="0" t="0" r="0" b="0"/>
          <wp:docPr id="1" name="Picture 212" descr="JustM_pur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2" descr="JustM_purp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890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B60E5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B"/>
    <w:multiLevelType w:val="multilevel"/>
    <w:tmpl w:val="C18821DE"/>
    <w:lvl w:ilvl="0">
      <w:start w:val="1"/>
      <w:numFmt w:val="upperRoman"/>
      <w:pStyle w:val="Heading1"/>
      <w:lvlText w:val="%1."/>
      <w:legacy w:legacy="1" w:legacySpace="144" w:legacyIndent="144"/>
      <w:lvlJc w:val="left"/>
      <w:rPr>
        <w:rFonts w:cs="Times New Roman"/>
      </w:rPr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rFonts w:cs="Times New Roman"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rFonts w:cs="Times New Roman"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  <w:rPr>
        <w:rFonts w:cs="Times New Roman"/>
      </w:r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  <w:rPr>
        <w:rFonts w:cs="Times New Roman"/>
      </w:r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  <w:rPr>
        <w:rFonts w:cs="Times New Roman"/>
      </w:r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  <w:rPr>
        <w:rFonts w:cs="Times New Roman"/>
      </w:r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  <w:rPr>
        <w:rFonts w:cs="Times New Roman"/>
      </w:r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  <w:rPr>
        <w:rFonts w:cs="Times New Roman"/>
      </w:rPr>
    </w:lvl>
  </w:abstractNum>
  <w:abstractNum w:abstractNumId="2">
    <w:nsid w:val="089A391B"/>
    <w:multiLevelType w:val="hybridMultilevel"/>
    <w:tmpl w:val="FE2A3B5A"/>
    <w:lvl w:ilvl="0" w:tplc="A9A0E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9B46E9"/>
    <w:multiLevelType w:val="hybridMultilevel"/>
    <w:tmpl w:val="850C7C04"/>
    <w:lvl w:ilvl="0" w:tplc="3800B754">
      <w:start w:val="1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62D1F53"/>
    <w:multiLevelType w:val="hybridMultilevel"/>
    <w:tmpl w:val="B52A9A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FA1EEE"/>
    <w:multiLevelType w:val="multilevel"/>
    <w:tmpl w:val="8382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3A0CEE"/>
    <w:multiLevelType w:val="hybridMultilevel"/>
    <w:tmpl w:val="4FA857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style="mso-width-relative:margin;mso-height-relative:margin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C19"/>
    <w:rsid w:val="00020C55"/>
    <w:rsid w:val="000558AC"/>
    <w:rsid w:val="000736B9"/>
    <w:rsid w:val="000755E2"/>
    <w:rsid w:val="00085670"/>
    <w:rsid w:val="00091A2B"/>
    <w:rsid w:val="000A1716"/>
    <w:rsid w:val="000A59A8"/>
    <w:rsid w:val="000C4F9D"/>
    <w:rsid w:val="000E1D4F"/>
    <w:rsid w:val="00104A4C"/>
    <w:rsid w:val="00113D92"/>
    <w:rsid w:val="00120180"/>
    <w:rsid w:val="0014131B"/>
    <w:rsid w:val="00141FE9"/>
    <w:rsid w:val="00155AD2"/>
    <w:rsid w:val="00167606"/>
    <w:rsid w:val="001836FA"/>
    <w:rsid w:val="0018419E"/>
    <w:rsid w:val="0018697C"/>
    <w:rsid w:val="00187023"/>
    <w:rsid w:val="001A1959"/>
    <w:rsid w:val="001B3A9E"/>
    <w:rsid w:val="001D59E4"/>
    <w:rsid w:val="001E526E"/>
    <w:rsid w:val="001E5ECF"/>
    <w:rsid w:val="001E6BF4"/>
    <w:rsid w:val="001F3014"/>
    <w:rsid w:val="00221693"/>
    <w:rsid w:val="00231335"/>
    <w:rsid w:val="00233F11"/>
    <w:rsid w:val="00241739"/>
    <w:rsid w:val="002426D5"/>
    <w:rsid w:val="002524EE"/>
    <w:rsid w:val="00265A15"/>
    <w:rsid w:val="00290223"/>
    <w:rsid w:val="002A3BF2"/>
    <w:rsid w:val="002C7675"/>
    <w:rsid w:val="00302BBC"/>
    <w:rsid w:val="00306550"/>
    <w:rsid w:val="00312C04"/>
    <w:rsid w:val="00334CEB"/>
    <w:rsid w:val="003560D2"/>
    <w:rsid w:val="003626D5"/>
    <w:rsid w:val="00363C8F"/>
    <w:rsid w:val="00376D2C"/>
    <w:rsid w:val="00393065"/>
    <w:rsid w:val="003A1FF5"/>
    <w:rsid w:val="003C6493"/>
    <w:rsid w:val="003E2F8E"/>
    <w:rsid w:val="003F55A7"/>
    <w:rsid w:val="003F6E7E"/>
    <w:rsid w:val="00410D2C"/>
    <w:rsid w:val="00420894"/>
    <w:rsid w:val="0042593A"/>
    <w:rsid w:val="00450C97"/>
    <w:rsid w:val="00456F80"/>
    <w:rsid w:val="004833B1"/>
    <w:rsid w:val="00486FF9"/>
    <w:rsid w:val="0049187D"/>
    <w:rsid w:val="00491C5D"/>
    <w:rsid w:val="004A227C"/>
    <w:rsid w:val="004C7F49"/>
    <w:rsid w:val="004D0D46"/>
    <w:rsid w:val="004F160B"/>
    <w:rsid w:val="004F709E"/>
    <w:rsid w:val="005034C0"/>
    <w:rsid w:val="00511F7E"/>
    <w:rsid w:val="005173CE"/>
    <w:rsid w:val="0053142A"/>
    <w:rsid w:val="005452B9"/>
    <w:rsid w:val="00583BC3"/>
    <w:rsid w:val="005A1B84"/>
    <w:rsid w:val="005C4422"/>
    <w:rsid w:val="005C4667"/>
    <w:rsid w:val="005C5648"/>
    <w:rsid w:val="00625028"/>
    <w:rsid w:val="00627F7D"/>
    <w:rsid w:val="006414A4"/>
    <w:rsid w:val="006612DC"/>
    <w:rsid w:val="00672D41"/>
    <w:rsid w:val="006B3824"/>
    <w:rsid w:val="006C4440"/>
    <w:rsid w:val="006D745E"/>
    <w:rsid w:val="006E2CE0"/>
    <w:rsid w:val="006E4A9F"/>
    <w:rsid w:val="007207FF"/>
    <w:rsid w:val="00731C19"/>
    <w:rsid w:val="00734E94"/>
    <w:rsid w:val="00764FB5"/>
    <w:rsid w:val="00771745"/>
    <w:rsid w:val="00774A49"/>
    <w:rsid w:val="007C0813"/>
    <w:rsid w:val="007D3105"/>
    <w:rsid w:val="007E2F28"/>
    <w:rsid w:val="008036E8"/>
    <w:rsid w:val="00862CB5"/>
    <w:rsid w:val="00866BE5"/>
    <w:rsid w:val="00883638"/>
    <w:rsid w:val="008A1D84"/>
    <w:rsid w:val="008B05B8"/>
    <w:rsid w:val="008C5788"/>
    <w:rsid w:val="008D248F"/>
    <w:rsid w:val="008E5BC5"/>
    <w:rsid w:val="008E5C85"/>
    <w:rsid w:val="008F35CC"/>
    <w:rsid w:val="008F6083"/>
    <w:rsid w:val="0093765C"/>
    <w:rsid w:val="009648AC"/>
    <w:rsid w:val="009A39F6"/>
    <w:rsid w:val="009A3F73"/>
    <w:rsid w:val="009B41B2"/>
    <w:rsid w:val="009C318D"/>
    <w:rsid w:val="009C3DF0"/>
    <w:rsid w:val="009C7F31"/>
    <w:rsid w:val="009D39A4"/>
    <w:rsid w:val="009E123C"/>
    <w:rsid w:val="009E4F1E"/>
    <w:rsid w:val="00A1227A"/>
    <w:rsid w:val="00A55035"/>
    <w:rsid w:val="00A65817"/>
    <w:rsid w:val="00A758E6"/>
    <w:rsid w:val="00A7756B"/>
    <w:rsid w:val="00A94FC4"/>
    <w:rsid w:val="00A97CB0"/>
    <w:rsid w:val="00AB7BB1"/>
    <w:rsid w:val="00AC297F"/>
    <w:rsid w:val="00AC4AFE"/>
    <w:rsid w:val="00AD3CDD"/>
    <w:rsid w:val="00AD6D3C"/>
    <w:rsid w:val="00AD75AA"/>
    <w:rsid w:val="00AE142B"/>
    <w:rsid w:val="00AF7C63"/>
    <w:rsid w:val="00B00CDB"/>
    <w:rsid w:val="00B25D4D"/>
    <w:rsid w:val="00B31401"/>
    <w:rsid w:val="00B45112"/>
    <w:rsid w:val="00B5585D"/>
    <w:rsid w:val="00B578C4"/>
    <w:rsid w:val="00B71405"/>
    <w:rsid w:val="00B75DC9"/>
    <w:rsid w:val="00B938F1"/>
    <w:rsid w:val="00B94321"/>
    <w:rsid w:val="00B95FCB"/>
    <w:rsid w:val="00B96080"/>
    <w:rsid w:val="00BA00BE"/>
    <w:rsid w:val="00BA7096"/>
    <w:rsid w:val="00BB11C2"/>
    <w:rsid w:val="00BB6F2A"/>
    <w:rsid w:val="00BD6A60"/>
    <w:rsid w:val="00BE2257"/>
    <w:rsid w:val="00BF00B2"/>
    <w:rsid w:val="00BF20B5"/>
    <w:rsid w:val="00C02989"/>
    <w:rsid w:val="00C076C7"/>
    <w:rsid w:val="00C13313"/>
    <w:rsid w:val="00C225AE"/>
    <w:rsid w:val="00C75A17"/>
    <w:rsid w:val="00C81666"/>
    <w:rsid w:val="00C83434"/>
    <w:rsid w:val="00C83EAA"/>
    <w:rsid w:val="00C93F0D"/>
    <w:rsid w:val="00CA6625"/>
    <w:rsid w:val="00CB0819"/>
    <w:rsid w:val="00CB1A7C"/>
    <w:rsid w:val="00CB4058"/>
    <w:rsid w:val="00CC5B40"/>
    <w:rsid w:val="00CE3F90"/>
    <w:rsid w:val="00D01F6B"/>
    <w:rsid w:val="00D0313F"/>
    <w:rsid w:val="00D07879"/>
    <w:rsid w:val="00D1756D"/>
    <w:rsid w:val="00D30219"/>
    <w:rsid w:val="00D43069"/>
    <w:rsid w:val="00D65CBB"/>
    <w:rsid w:val="00D66677"/>
    <w:rsid w:val="00D67B56"/>
    <w:rsid w:val="00D851F6"/>
    <w:rsid w:val="00DD44E5"/>
    <w:rsid w:val="00DE3216"/>
    <w:rsid w:val="00E04B24"/>
    <w:rsid w:val="00E07ED9"/>
    <w:rsid w:val="00E25473"/>
    <w:rsid w:val="00E3341A"/>
    <w:rsid w:val="00E411D1"/>
    <w:rsid w:val="00E43BB4"/>
    <w:rsid w:val="00E5095B"/>
    <w:rsid w:val="00E57E61"/>
    <w:rsid w:val="00E60509"/>
    <w:rsid w:val="00EA1E33"/>
    <w:rsid w:val="00EB489A"/>
    <w:rsid w:val="00EB515D"/>
    <w:rsid w:val="00EF432F"/>
    <w:rsid w:val="00F23F2F"/>
    <w:rsid w:val="00F26F24"/>
    <w:rsid w:val="00F31351"/>
    <w:rsid w:val="00F31B06"/>
    <w:rsid w:val="00F43581"/>
    <w:rsid w:val="00F4530F"/>
    <w:rsid w:val="00F45B22"/>
    <w:rsid w:val="00F52E02"/>
    <w:rsid w:val="00F54466"/>
    <w:rsid w:val="00F8198A"/>
    <w:rsid w:val="00F908F6"/>
    <w:rsid w:val="00F935F1"/>
    <w:rsid w:val="00F95583"/>
    <w:rsid w:val="00F974C6"/>
    <w:rsid w:val="00FB4399"/>
    <w:rsid w:val="00FC4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width-relative:margin;mso-height-relative:margin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5D125E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8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13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3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06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31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56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62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250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11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31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401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jp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10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oth\AppData\Local\Microsoft\Windows\Temporary%20Internet%20Files\Content.Outlook\IIDJZ9OD\141015%202014-Research%20Report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C644643969264883FBBDDE284BCE88" ma:contentTypeVersion="0" ma:contentTypeDescription="Create a new document." ma:contentTypeScope="" ma:versionID="f9f072c2bf7ffe07f2236eeac41fd8c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4EB0EC-C746-4224-8CAA-A2E0A1AB4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B38F5D4D-748B-4574-A706-3F69CB5522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141015 2014-Research ReportTemplate</Template>
  <TotalTime>69</TotalTime>
  <Pages>1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NHMFL Research Report</vt:lpstr>
    </vt:vector>
  </TitlesOfParts>
  <Company>NHMFL</Company>
  <LinksUpToDate>false</LinksUpToDate>
  <CharactersWithSpaces>2785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NHMFL Research Report</dc:title>
  <dc:subject/>
  <dc:creator>Anke Toth</dc:creator>
  <cp:keywords/>
  <cp:lastModifiedBy>Anke Toth</cp:lastModifiedBy>
  <cp:revision>6</cp:revision>
  <cp:lastPrinted>2015-07-15T15:10:00Z</cp:lastPrinted>
  <dcterms:created xsi:type="dcterms:W3CDTF">2018-01-08T14:33:00Z</dcterms:created>
  <dcterms:modified xsi:type="dcterms:W3CDTF">2018-04-03T20:04:00Z</dcterms:modified>
</cp:coreProperties>
</file>