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854543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854543">
        <w:rPr>
          <w:rFonts w:ascii="Arial" w:hAnsi="Arial" w:cs="Arial"/>
          <w:b/>
        </w:rPr>
        <w:t>Anomalous Behavior of Spin Dynamics in the Metal-Organic Framework (MOF)</w:t>
      </w:r>
      <w:r w:rsidRPr="00854543">
        <w:rPr>
          <w:rFonts w:ascii="Arial" w:hAnsi="Arial" w:cs="Arial"/>
          <w:b/>
        </w:rPr>
        <w:br/>
        <w:t>Dimethyla</w:t>
      </w:r>
      <w:r w:rsidR="0015342E">
        <w:rPr>
          <w:rFonts w:ascii="Arial" w:hAnsi="Arial" w:cs="Arial"/>
          <w:b/>
        </w:rPr>
        <w:t>mmonium</w:t>
      </w:r>
      <w:r w:rsidRPr="00854543">
        <w:rPr>
          <w:rFonts w:ascii="Arial" w:hAnsi="Arial" w:cs="Arial"/>
          <w:b/>
        </w:rPr>
        <w:t xml:space="preserve"> Manganese Formate (DMMnF)</w:t>
      </w:r>
      <w:r w:rsidR="00505259">
        <w:rPr>
          <w:rFonts w:ascii="Arial" w:hAnsi="Arial" w:cs="Arial"/>
          <w:b/>
        </w:rPr>
        <w:t xml:space="preserve"> from </w:t>
      </w:r>
      <w:r w:rsidR="00505259" w:rsidRPr="00505259">
        <w:rPr>
          <w:rFonts w:ascii="Arial" w:hAnsi="Arial" w:cs="Arial"/>
          <w:b/>
          <w:vertAlign w:val="superscript"/>
        </w:rPr>
        <w:t>1</w:t>
      </w:r>
      <w:r w:rsidR="00505259">
        <w:rPr>
          <w:rFonts w:ascii="Arial" w:hAnsi="Arial" w:cs="Arial"/>
          <w:b/>
        </w:rPr>
        <w:t xml:space="preserve">H and </w:t>
      </w:r>
      <w:r w:rsidR="00505259" w:rsidRPr="00505259">
        <w:rPr>
          <w:rFonts w:ascii="Arial" w:hAnsi="Arial" w:cs="Arial"/>
          <w:b/>
          <w:vertAlign w:val="superscript"/>
        </w:rPr>
        <w:t>55</w:t>
      </w:r>
      <w:r w:rsidR="00505259">
        <w:rPr>
          <w:rFonts w:ascii="Arial" w:hAnsi="Arial" w:cs="Arial"/>
          <w:b/>
        </w:rPr>
        <w:t>Mn NMR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05A60" w:rsidRPr="006B3824" w:rsidRDefault="00305A60" w:rsidP="00305A60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Reyes, R.R.(NYU/NHMFL); Ramakrishna,</w:t>
      </w:r>
      <w:r w:rsidRPr="007362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S.K.(FSU/NHMFL); </w:t>
      </w:r>
      <w:r w:rsidRPr="00A2312B">
        <w:rPr>
          <w:rFonts w:ascii="Arial" w:hAnsi="Arial" w:cs="Arial"/>
          <w:sz w:val="20"/>
          <w:szCs w:val="20"/>
        </w:rPr>
        <w:t>Haddock</w:t>
      </w:r>
      <w:r>
        <w:rPr>
          <w:rFonts w:ascii="Arial" w:hAnsi="Arial" w:cs="Arial"/>
          <w:sz w:val="20"/>
          <w:szCs w:val="20"/>
        </w:rPr>
        <w:t>, J.(FSU</w:t>
      </w:r>
      <w:r w:rsidRPr="00D8087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; </w:t>
      </w:r>
      <w:r w:rsidRPr="00D80870">
        <w:rPr>
          <w:rFonts w:ascii="Arial" w:hAnsi="Arial" w:cs="Arial"/>
          <w:sz w:val="20"/>
          <w:szCs w:val="20"/>
        </w:rPr>
        <w:t>Reyes</w:t>
      </w:r>
      <w:r>
        <w:rPr>
          <w:rFonts w:ascii="Arial" w:hAnsi="Arial" w:cs="Arial"/>
          <w:sz w:val="20"/>
          <w:szCs w:val="20"/>
        </w:rPr>
        <w:t xml:space="preserve">, A.P. (NHMFL) and </w:t>
      </w:r>
      <w:r w:rsidRPr="00A2312B">
        <w:rPr>
          <w:rFonts w:ascii="Arial" w:hAnsi="Arial" w:cs="Arial"/>
          <w:sz w:val="20"/>
          <w:szCs w:val="20"/>
        </w:rPr>
        <w:t>Dalal</w:t>
      </w:r>
      <w:r>
        <w:rPr>
          <w:rFonts w:ascii="Arial" w:hAnsi="Arial" w:cs="Arial"/>
          <w:sz w:val="20"/>
          <w:szCs w:val="20"/>
        </w:rPr>
        <w:t>, N. (FSU/NHMFL)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:rsidR="00193561" w:rsidRPr="00193561" w:rsidRDefault="00A2312B" w:rsidP="0019356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80870">
        <w:rPr>
          <w:rFonts w:ascii="Arial" w:hAnsi="Arial" w:cs="Arial"/>
          <w:sz w:val="20"/>
          <w:szCs w:val="20"/>
        </w:rPr>
        <w:tab/>
        <w:t>Multiferroics have been of great recent interest for their unique simultaneous demonstration of both electric and magnetic properties which has potential technological applications.</w:t>
      </w:r>
      <w:r w:rsidR="007919B6">
        <w:rPr>
          <w:rFonts w:ascii="Arial" w:hAnsi="Arial" w:cs="Arial"/>
          <w:sz w:val="20"/>
          <w:szCs w:val="20"/>
        </w:rPr>
        <w:t xml:space="preserve"> </w:t>
      </w:r>
      <w:r w:rsidRPr="00D80870">
        <w:rPr>
          <w:rFonts w:ascii="Arial" w:hAnsi="Arial" w:cs="Arial"/>
          <w:sz w:val="20"/>
          <w:szCs w:val="20"/>
        </w:rPr>
        <w:t xml:space="preserve"> </w:t>
      </w:r>
      <w:r w:rsidR="007919B6">
        <w:rPr>
          <w:rFonts w:ascii="Arial" w:hAnsi="Arial" w:cs="Arial"/>
          <w:sz w:val="20"/>
          <w:szCs w:val="20"/>
        </w:rPr>
        <w:t xml:space="preserve">Recently, </w:t>
      </w:r>
      <w:r w:rsidR="007919B6" w:rsidRPr="00D80870">
        <w:rPr>
          <w:rFonts w:ascii="Arial" w:hAnsi="Arial" w:cs="Arial"/>
          <w:sz w:val="20"/>
          <w:szCs w:val="20"/>
        </w:rPr>
        <w:t xml:space="preserve">multiferroic behavior has been observed </w:t>
      </w:r>
      <w:r w:rsidR="007919B6">
        <w:rPr>
          <w:rFonts w:ascii="Arial" w:hAnsi="Arial" w:cs="Arial"/>
          <w:sz w:val="20"/>
          <w:szCs w:val="20"/>
        </w:rPr>
        <w:t>in</w:t>
      </w:r>
      <w:r w:rsidRPr="00D80870">
        <w:rPr>
          <w:rFonts w:ascii="Arial" w:hAnsi="Arial" w:cs="Arial"/>
          <w:sz w:val="20"/>
          <w:szCs w:val="20"/>
        </w:rPr>
        <w:t xml:space="preserve"> </w:t>
      </w:r>
      <w:r w:rsidR="00D80870" w:rsidRPr="00D80870">
        <w:rPr>
          <w:rFonts w:ascii="Arial" w:hAnsi="Arial" w:cs="Arial"/>
          <w:sz w:val="20"/>
          <w:szCs w:val="20"/>
        </w:rPr>
        <w:t>Metal Organic Framework</w:t>
      </w:r>
      <w:r w:rsidR="00193561">
        <w:rPr>
          <w:rFonts w:ascii="Arial" w:hAnsi="Arial" w:cs="Arial"/>
          <w:sz w:val="20"/>
          <w:szCs w:val="20"/>
        </w:rPr>
        <w:t xml:space="preserve"> </w:t>
      </w:r>
      <w:r w:rsidR="00D80870" w:rsidRPr="00D80870">
        <w:rPr>
          <w:rFonts w:ascii="Arial" w:hAnsi="Arial" w:cs="Arial"/>
          <w:sz w:val="20"/>
          <w:szCs w:val="20"/>
        </w:rPr>
        <w:t>(MOF</w:t>
      </w:r>
      <w:r w:rsidR="00193561">
        <w:rPr>
          <w:rFonts w:ascii="Arial" w:hAnsi="Arial" w:cs="Arial"/>
          <w:sz w:val="20"/>
          <w:szCs w:val="20"/>
        </w:rPr>
        <w:t>) compound</w:t>
      </w:r>
      <w:r w:rsidRPr="00D80870">
        <w:rPr>
          <w:rFonts w:ascii="Arial" w:hAnsi="Arial" w:cs="Arial"/>
          <w:sz w:val="20"/>
          <w:szCs w:val="20"/>
        </w:rPr>
        <w:t xml:space="preserve"> Dimethylam</w:t>
      </w:r>
      <w:r w:rsidR="004C37FF">
        <w:rPr>
          <w:rFonts w:ascii="Arial" w:hAnsi="Arial" w:cs="Arial"/>
          <w:sz w:val="20"/>
          <w:szCs w:val="20"/>
        </w:rPr>
        <w:t xml:space="preserve">monium </w:t>
      </w:r>
      <w:r w:rsidRPr="00D80870">
        <w:rPr>
          <w:rFonts w:ascii="Arial" w:hAnsi="Arial" w:cs="Arial"/>
          <w:sz w:val="20"/>
          <w:szCs w:val="20"/>
        </w:rPr>
        <w:t>Manganese Formate (DMMnF)</w:t>
      </w:r>
      <w:r w:rsidR="00193561">
        <w:rPr>
          <w:rFonts w:ascii="Arial" w:hAnsi="Arial" w:cs="Arial"/>
          <w:sz w:val="20"/>
          <w:szCs w:val="20"/>
        </w:rPr>
        <w:t>.</w:t>
      </w:r>
      <w:r w:rsidRPr="00D80870">
        <w:rPr>
          <w:rFonts w:ascii="Arial" w:hAnsi="Arial" w:cs="Arial"/>
          <w:sz w:val="20"/>
          <w:szCs w:val="20"/>
        </w:rPr>
        <w:t xml:space="preserve"> </w:t>
      </w:r>
      <w:r w:rsidR="00D80870" w:rsidRPr="00D80870">
        <w:rPr>
          <w:rFonts w:ascii="Arial" w:hAnsi="Arial" w:cs="Arial"/>
          <w:sz w:val="20"/>
          <w:szCs w:val="20"/>
        </w:rPr>
        <w:t>[</w:t>
      </w:r>
      <w:r w:rsidR="00FE16CD" w:rsidRPr="00D80870">
        <w:rPr>
          <w:rFonts w:ascii="Arial" w:hAnsi="Arial" w:cs="Arial"/>
          <w:sz w:val="20"/>
          <w:szCs w:val="20"/>
        </w:rPr>
        <w:t>1</w:t>
      </w:r>
      <w:r w:rsidR="00D80870" w:rsidRPr="00D80870">
        <w:rPr>
          <w:rFonts w:ascii="Arial" w:hAnsi="Arial" w:cs="Arial"/>
          <w:sz w:val="20"/>
          <w:szCs w:val="20"/>
        </w:rPr>
        <w:t>]</w:t>
      </w:r>
      <w:r w:rsidR="00E8007A">
        <w:rPr>
          <w:rFonts w:ascii="Arial" w:hAnsi="Arial" w:cs="Arial"/>
          <w:sz w:val="20"/>
          <w:szCs w:val="20"/>
        </w:rPr>
        <w:t xml:space="preserve"> This system</w:t>
      </w:r>
      <w:r w:rsidR="007919B6">
        <w:rPr>
          <w:rFonts w:ascii="Arial" w:hAnsi="Arial" w:cs="Arial"/>
          <w:sz w:val="20"/>
          <w:szCs w:val="20"/>
        </w:rPr>
        <w:t xml:space="preserve"> </w:t>
      </w:r>
      <w:r w:rsidR="00D80870" w:rsidRPr="00D80870">
        <w:rPr>
          <w:rFonts w:ascii="Arial" w:hAnsi="Arial" w:cs="Arial"/>
          <w:sz w:val="20"/>
          <w:szCs w:val="20"/>
        </w:rPr>
        <w:t>exhibits a</w:t>
      </w:r>
      <w:r w:rsidR="0006725C" w:rsidRPr="00D80870">
        <w:rPr>
          <w:rFonts w:ascii="Arial" w:hAnsi="Arial" w:cs="Arial"/>
          <w:sz w:val="20"/>
          <w:szCs w:val="20"/>
        </w:rPr>
        <w:t xml:space="preserve"> dielectric transition around 184K</w:t>
      </w:r>
      <w:r w:rsidR="00D80870" w:rsidRPr="00D80870">
        <w:rPr>
          <w:rFonts w:ascii="Arial" w:hAnsi="Arial" w:cs="Arial"/>
          <w:sz w:val="20"/>
          <w:szCs w:val="20"/>
        </w:rPr>
        <w:t xml:space="preserve"> and a</w:t>
      </w:r>
      <w:r w:rsidR="0006725C" w:rsidRPr="00D80870">
        <w:rPr>
          <w:rFonts w:ascii="Arial" w:hAnsi="Arial" w:cs="Arial"/>
          <w:sz w:val="20"/>
          <w:szCs w:val="20"/>
        </w:rPr>
        <w:t xml:space="preserve"> weak canted </w:t>
      </w:r>
      <w:r w:rsidR="00090A8C">
        <w:rPr>
          <w:rFonts w:ascii="Arial" w:hAnsi="Arial" w:cs="Arial"/>
          <w:sz w:val="20"/>
          <w:szCs w:val="20"/>
        </w:rPr>
        <w:t>anti</w:t>
      </w:r>
      <w:r w:rsidR="0006725C" w:rsidRPr="00D80870">
        <w:rPr>
          <w:rFonts w:ascii="Arial" w:hAnsi="Arial" w:cs="Arial"/>
          <w:sz w:val="20"/>
          <w:szCs w:val="20"/>
        </w:rPr>
        <w:t xml:space="preserve">ferromagnetic </w:t>
      </w:r>
      <w:r w:rsidR="00505259">
        <w:rPr>
          <w:rFonts w:ascii="Arial" w:hAnsi="Arial" w:cs="Arial"/>
          <w:sz w:val="20"/>
          <w:szCs w:val="20"/>
        </w:rPr>
        <w:t xml:space="preserve">(AF) </w:t>
      </w:r>
      <w:r w:rsidR="0006725C" w:rsidRPr="00D80870">
        <w:rPr>
          <w:rFonts w:ascii="Arial" w:hAnsi="Arial" w:cs="Arial"/>
          <w:sz w:val="20"/>
          <w:szCs w:val="20"/>
        </w:rPr>
        <w:t xml:space="preserve">behavior at </w:t>
      </w:r>
      <w:r w:rsidR="0006725C" w:rsidRPr="00D80870">
        <w:rPr>
          <w:rFonts w:ascii="Arial" w:hAnsi="Arial" w:cs="Arial"/>
          <w:i/>
          <w:iCs/>
          <w:sz w:val="20"/>
          <w:szCs w:val="20"/>
        </w:rPr>
        <w:t>T</w:t>
      </w:r>
      <w:r w:rsidR="0006725C" w:rsidRPr="00D80870">
        <w:rPr>
          <w:rFonts w:ascii="Arial" w:hAnsi="Arial" w:cs="Arial"/>
          <w:sz w:val="20"/>
          <w:szCs w:val="20"/>
          <w:vertAlign w:val="subscript"/>
        </w:rPr>
        <w:t xml:space="preserve">C </w:t>
      </w:r>
      <w:r w:rsidR="0006725C" w:rsidRPr="00D80870">
        <w:rPr>
          <w:rFonts w:ascii="Arial" w:hAnsi="Arial" w:cs="Arial"/>
          <w:sz w:val="20"/>
          <w:szCs w:val="20"/>
        </w:rPr>
        <w:t>= 8.4K</w:t>
      </w:r>
      <w:r w:rsidR="00D80870" w:rsidRPr="00D80870">
        <w:rPr>
          <w:rFonts w:ascii="Arial" w:hAnsi="Arial" w:cs="Arial"/>
          <w:sz w:val="20"/>
          <w:szCs w:val="20"/>
        </w:rPr>
        <w:t>.</w:t>
      </w:r>
      <w:r w:rsidR="00D80870">
        <w:rPr>
          <w:rFonts w:ascii="Arial" w:hAnsi="Arial" w:cs="Arial"/>
          <w:sz w:val="20"/>
          <w:szCs w:val="20"/>
        </w:rPr>
        <w:t xml:space="preserve"> </w:t>
      </w:r>
      <w:r w:rsidR="00193561">
        <w:rPr>
          <w:rFonts w:ascii="Arial" w:hAnsi="Arial" w:cs="Arial"/>
          <w:sz w:val="20"/>
          <w:szCs w:val="20"/>
        </w:rPr>
        <w:t xml:space="preserve"> </w:t>
      </w:r>
      <w:r w:rsidR="00193561" w:rsidRPr="00193561">
        <w:rPr>
          <w:rFonts w:ascii="Arial" w:hAnsi="Arial" w:cs="Arial"/>
          <w:sz w:val="20"/>
          <w:szCs w:val="20"/>
        </w:rPr>
        <w:t>Th</w:t>
      </w:r>
      <w:r w:rsidR="00193561">
        <w:rPr>
          <w:rFonts w:ascii="Arial" w:hAnsi="Arial" w:cs="Arial"/>
          <w:sz w:val="20"/>
          <w:szCs w:val="20"/>
        </w:rPr>
        <w:t>e microscopic details of these phase</w:t>
      </w:r>
      <w:r w:rsidR="00193561" w:rsidRPr="00193561">
        <w:rPr>
          <w:rFonts w:ascii="Arial" w:hAnsi="Arial" w:cs="Arial"/>
          <w:sz w:val="20"/>
          <w:szCs w:val="20"/>
        </w:rPr>
        <w:t xml:space="preserve"> transitions</w:t>
      </w:r>
      <w:r w:rsidR="00193561">
        <w:rPr>
          <w:rFonts w:ascii="Arial" w:hAnsi="Arial" w:cs="Arial"/>
          <w:sz w:val="20"/>
          <w:szCs w:val="20"/>
        </w:rPr>
        <w:t xml:space="preserve"> are studied using</w:t>
      </w:r>
      <w:r w:rsidR="00193561" w:rsidRPr="00193561">
        <w:rPr>
          <w:rFonts w:ascii="Arial" w:hAnsi="Arial" w:cs="Arial"/>
          <w:sz w:val="20"/>
          <w:szCs w:val="20"/>
        </w:rPr>
        <w:t xml:space="preserve"> </w:t>
      </w:r>
      <w:r w:rsidR="00193561" w:rsidRPr="00193561">
        <w:rPr>
          <w:rFonts w:ascii="Arial" w:hAnsi="Arial" w:cs="Arial"/>
          <w:sz w:val="20"/>
          <w:szCs w:val="20"/>
          <w:vertAlign w:val="superscript"/>
        </w:rPr>
        <w:t>1</w:t>
      </w:r>
      <w:r w:rsidR="00193561" w:rsidRPr="00193561">
        <w:rPr>
          <w:rFonts w:ascii="Arial" w:hAnsi="Arial" w:cs="Arial"/>
          <w:sz w:val="20"/>
          <w:szCs w:val="20"/>
        </w:rPr>
        <w:t xml:space="preserve">H and </w:t>
      </w:r>
      <w:r w:rsidR="00193561" w:rsidRPr="00193561">
        <w:rPr>
          <w:rFonts w:ascii="Arial" w:hAnsi="Arial" w:cs="Arial"/>
          <w:sz w:val="20"/>
          <w:szCs w:val="20"/>
          <w:vertAlign w:val="superscript"/>
        </w:rPr>
        <w:t>55</w:t>
      </w:r>
      <w:r w:rsidR="00193561" w:rsidRPr="00193561">
        <w:rPr>
          <w:rFonts w:ascii="Arial" w:hAnsi="Arial" w:cs="Arial"/>
          <w:sz w:val="20"/>
          <w:szCs w:val="20"/>
        </w:rPr>
        <w:t>Mn NMR</w:t>
      </w:r>
      <w:r w:rsidR="00193561">
        <w:rPr>
          <w:rFonts w:ascii="Arial" w:hAnsi="Arial" w:cs="Arial"/>
          <w:sz w:val="20"/>
          <w:szCs w:val="20"/>
        </w:rPr>
        <w:t xml:space="preserve"> technique</w:t>
      </w:r>
      <w:r w:rsidR="00193561" w:rsidRPr="00193561">
        <w:rPr>
          <w:rFonts w:ascii="Arial" w:hAnsi="Arial" w:cs="Arial"/>
          <w:sz w:val="20"/>
          <w:szCs w:val="20"/>
        </w:rPr>
        <w:t>.</w:t>
      </w:r>
    </w:p>
    <w:p w:rsidR="00A2312B" w:rsidRPr="00A2312B" w:rsidRDefault="00A2312B" w:rsidP="00A231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D80870" w:rsidRPr="00D80870" w:rsidRDefault="006B3824" w:rsidP="00D80870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0870" w:rsidRPr="00D80870">
        <w:rPr>
          <w:rFonts w:ascii="Arial" w:hAnsi="Arial" w:cs="Arial"/>
          <w:sz w:val="20"/>
          <w:szCs w:val="20"/>
        </w:rPr>
        <w:t>Crystals were synthesized via hydro</w:t>
      </w:r>
      <w:r w:rsidR="004C37FF">
        <w:rPr>
          <w:rFonts w:ascii="Arial" w:hAnsi="Arial" w:cs="Arial"/>
          <w:sz w:val="20"/>
          <w:szCs w:val="20"/>
        </w:rPr>
        <w:t>thermal process</w:t>
      </w:r>
      <w:r w:rsidR="00D80870">
        <w:rPr>
          <w:rFonts w:ascii="Arial" w:hAnsi="Arial" w:cs="Arial"/>
          <w:sz w:val="20"/>
          <w:szCs w:val="20"/>
        </w:rPr>
        <w:t>.</w:t>
      </w:r>
      <w:r w:rsidR="00F402D1">
        <w:rPr>
          <w:rFonts w:ascii="Arial" w:hAnsi="Arial" w:cs="Arial"/>
          <w:sz w:val="20"/>
          <w:szCs w:val="20"/>
        </w:rPr>
        <w:t xml:space="preserve"> </w:t>
      </w:r>
      <w:r w:rsidR="00D80870" w:rsidRPr="00D80870">
        <w:rPr>
          <w:rFonts w:ascii="Arial" w:hAnsi="Arial" w:cs="Arial"/>
          <w:sz w:val="20"/>
          <w:szCs w:val="20"/>
        </w:rPr>
        <w:t>[1] The NMR spectra and relaxation time T</w:t>
      </w:r>
      <w:r w:rsidR="00D80870" w:rsidRPr="00D80870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D80870" w:rsidRPr="00D80870">
        <w:rPr>
          <w:rFonts w:ascii="Arial" w:hAnsi="Arial" w:cs="Arial"/>
          <w:sz w:val="20"/>
          <w:szCs w:val="20"/>
        </w:rPr>
        <w:t xml:space="preserve">were taken in a 12T superconducting magnet by sweeping the </w:t>
      </w:r>
      <w:r w:rsidR="007919B6">
        <w:rPr>
          <w:rFonts w:ascii="Arial" w:hAnsi="Arial" w:cs="Arial"/>
          <w:sz w:val="20"/>
          <w:szCs w:val="20"/>
        </w:rPr>
        <w:t>frequency</w:t>
      </w:r>
      <w:r w:rsidR="00D80870" w:rsidRPr="00D80870">
        <w:rPr>
          <w:rFonts w:ascii="Arial" w:hAnsi="Arial" w:cs="Arial"/>
          <w:sz w:val="20"/>
          <w:szCs w:val="20"/>
        </w:rPr>
        <w:t xml:space="preserve"> from 30-116 MHz over different set fields.</w:t>
      </w:r>
    </w:p>
    <w:p w:rsidR="00FB4399" w:rsidRDefault="00FB4399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683415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2D62CA" wp14:editId="44339ABA">
                <wp:simplePos x="0" y="0"/>
                <wp:positionH relativeFrom="margin">
                  <wp:posOffset>-79375</wp:posOffset>
                </wp:positionH>
                <wp:positionV relativeFrom="paragraph">
                  <wp:posOffset>277495</wp:posOffset>
                </wp:positionV>
                <wp:extent cx="2005965" cy="2005965"/>
                <wp:effectExtent l="0" t="0" r="0" b="0"/>
                <wp:wrapTopAndBottom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825" w:rsidRDefault="00683415" w:rsidP="00BB1825">
                            <w:r w:rsidRPr="00683415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93805" cy="1597442"/>
                                  <wp:effectExtent l="0" t="0" r="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328" cy="1603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1825" w:rsidRPr="007919B6" w:rsidRDefault="00BB1825" w:rsidP="00511E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19B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Fig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. 1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182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BB182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H NMR spectra </w:t>
                            </w:r>
                            <w:r w:rsidR="00E5644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at 1.2T </w:t>
                            </w:r>
                            <w:r w:rsidRPr="00BB182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="00E5644E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s a function of temperature</w:t>
                            </w:r>
                            <w:r w:rsidRPr="00BB182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2D62C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6.25pt;margin-top:21.85pt;width:157.95pt;height:157.9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" filled="f" stroked="f" strokeweight=".5pt">
                <v:textbox>
                  <w:txbxContent>
                    <w:p w:rsidR="00BB1825" w:rsidRDefault="00683415" w:rsidP="00BB1825">
                      <w:r w:rsidRPr="00683415">
                        <w:rPr>
                          <w:noProof/>
                        </w:rPr>
                        <w:drawing>
                          <wp:inline distT="0" distB="0" distL="0" distR="0">
                            <wp:extent cx="1893805" cy="1597442"/>
                            <wp:effectExtent l="0" t="0" r="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328" cy="1603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825" w:rsidRPr="007919B6" w:rsidRDefault="00BB1825" w:rsidP="00511EF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19B6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Fig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. 1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BB1825">
                        <w:rPr>
                          <w:rFonts w:ascii="Arial" w:hAnsi="Arial" w:cs="Arial"/>
                          <w:iCs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BB182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H NMR spectra </w:t>
                      </w:r>
                      <w:r w:rsidR="00E5644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at 1.2T </w:t>
                      </w:r>
                      <w:r w:rsidRPr="00BB182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a</w:t>
                      </w:r>
                      <w:r w:rsidR="00E5644E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s a function of temperature</w:t>
                      </w:r>
                      <w:r w:rsidRPr="00BB182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1EFF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9E073A" wp14:editId="0C880A39">
                <wp:simplePos x="0" y="0"/>
                <wp:positionH relativeFrom="margin">
                  <wp:posOffset>1913800</wp:posOffset>
                </wp:positionH>
                <wp:positionV relativeFrom="paragraph">
                  <wp:posOffset>217170</wp:posOffset>
                </wp:positionV>
                <wp:extent cx="2200910" cy="2105660"/>
                <wp:effectExtent l="0" t="0" r="0" b="0"/>
                <wp:wrapTopAndBottom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10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825" w:rsidRDefault="00D507B4" w:rsidP="00BB1825">
                            <w:r w:rsidRPr="00D507B4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133413" cy="1633344"/>
                                  <wp:effectExtent l="0" t="0" r="635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893" cy="1640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1825" w:rsidRPr="007919B6" w:rsidRDefault="00BB1825" w:rsidP="00BB182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19B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Fig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. 2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182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Temperature d</w:t>
                            </w:r>
                            <w:r w:rsidR="00F402D1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ependence of the </w:t>
                            </w:r>
                            <w:r w:rsidRPr="00BB182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outermost </w:t>
                            </w:r>
                            <w:r w:rsidRPr="00BB182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F402D1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H peak position.</w:t>
                            </w:r>
                          </w:p>
                          <w:p w:rsidR="00BB1825" w:rsidRPr="007919B6" w:rsidRDefault="00BB1825" w:rsidP="00BB182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E073A" id="Text Box 39" o:spid="_x0000_s1027" type="#_x0000_t202" style="position:absolute;margin-left:150.7pt;margin-top:17.1pt;width:173.3pt;height:165.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" filled="f" stroked="f" strokeweight=".5pt">
                <v:textbox>
                  <w:txbxContent>
                    <w:p w:rsidR="00BB1825" w:rsidRDefault="00D507B4" w:rsidP="00BB1825">
                      <w:r w:rsidRPr="00D507B4">
                        <w:rPr>
                          <w:noProof/>
                        </w:rPr>
                        <w:drawing>
                          <wp:inline distT="0" distB="0" distL="0" distR="0">
                            <wp:extent cx="2133413" cy="1633344"/>
                            <wp:effectExtent l="0" t="0" r="635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2893" cy="1640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825" w:rsidRPr="007919B6" w:rsidRDefault="00BB1825" w:rsidP="00BB182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19B6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Fig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BB182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Temperature d</w:t>
                      </w:r>
                      <w:r w:rsidR="00F402D1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ependence of the </w:t>
                      </w:r>
                      <w:r w:rsidRPr="00BB182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outermost </w:t>
                      </w:r>
                      <w:r w:rsidRPr="00BB1825">
                        <w:rPr>
                          <w:rFonts w:ascii="Arial" w:hAnsi="Arial" w:cs="Arial"/>
                          <w:iCs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F402D1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H peak position.</w:t>
                      </w:r>
                    </w:p>
                    <w:p w:rsidR="00BB1825" w:rsidRPr="007919B6" w:rsidRDefault="00BB1825" w:rsidP="00BB182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25E9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4102867</wp:posOffset>
                </wp:positionH>
                <wp:positionV relativeFrom="paragraph">
                  <wp:posOffset>173355</wp:posOffset>
                </wp:positionV>
                <wp:extent cx="2352675" cy="2075815"/>
                <wp:effectExtent l="0" t="0" r="0" b="635"/>
                <wp:wrapTopAndBottom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075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9B6" w:rsidRDefault="006625E9">
                            <w:r w:rsidRPr="006625E9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197141" cy="167668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488" cy="1685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19B6" w:rsidRPr="007919B6" w:rsidRDefault="007919B6" w:rsidP="007919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19B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Fig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B18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Plot of both long and s</w:t>
                            </w:r>
                            <w:r w:rsidRPr="007919B6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hort T</w:t>
                            </w:r>
                            <w:r w:rsidRPr="007919B6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 w:rsidRPr="007919B6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for the central peak (</w:t>
                            </w:r>
                            <w:r w:rsidRPr="007919B6">
                              <w:rPr>
                                <w:rFonts w:ascii="Symbol" w:hAnsi="Symbol" w:cs="Arial"/>
                                <w:i/>
                                <w:iCs/>
                                <w:sz w:val="18"/>
                                <w:szCs w:val="18"/>
                              </w:rPr>
                              <w:t></w:t>
                            </w:r>
                            <w:r w:rsidRPr="007919B6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  <w:t xml:space="preserve">o </w:t>
                            </w:r>
                            <w:r w:rsidRPr="007919B6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~ 51.45 MHz).</w:t>
                            </w:r>
                          </w:p>
                          <w:p w:rsidR="007919B6" w:rsidRPr="007919B6" w:rsidRDefault="007919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28" type="#_x0000_t202" style="position:absolute;margin-left:323.05pt;margin-top:13.65pt;width:185.25pt;height:163.4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" filled="f" stroked="f" strokeweight=".5pt">
                <v:textbox>
                  <w:txbxContent>
                    <w:p w:rsidR="007919B6" w:rsidRDefault="006625E9">
                      <w:r w:rsidRPr="006625E9">
                        <w:rPr>
                          <w:noProof/>
                        </w:rPr>
                        <w:drawing>
                          <wp:inline distT="0" distB="0" distL="0" distR="0">
                            <wp:extent cx="2197141" cy="167668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488" cy="1685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19B6" w:rsidRPr="007919B6" w:rsidRDefault="007919B6" w:rsidP="007919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19B6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Fig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. </w:t>
                      </w:r>
                      <w:r w:rsidR="00BB1825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Plot of both long and s</w:t>
                      </w:r>
                      <w:r w:rsidRPr="007919B6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hort T</w:t>
                      </w:r>
                      <w:r w:rsidRPr="007919B6">
                        <w:rPr>
                          <w:rFonts w:ascii="Arial" w:hAnsi="Arial" w:cs="Arial"/>
                          <w:iCs/>
                          <w:sz w:val="18"/>
                          <w:szCs w:val="18"/>
                          <w:vertAlign w:val="subscript"/>
                        </w:rPr>
                        <w:t>1</w:t>
                      </w:r>
                      <w:r w:rsidRPr="007919B6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for the central peak (</w:t>
                      </w:r>
                      <w:r w:rsidRPr="007919B6">
                        <w:rPr>
                          <w:rFonts w:ascii="Symbol" w:hAnsi="Symbol" w:cs="Arial"/>
                          <w:i/>
                          <w:iCs/>
                          <w:sz w:val="18"/>
                          <w:szCs w:val="18"/>
                        </w:rPr>
                        <w:t></w:t>
                      </w:r>
                      <w:r w:rsidRPr="007919B6">
                        <w:rPr>
                          <w:rFonts w:ascii="Arial" w:hAnsi="Arial" w:cs="Arial"/>
                          <w:iCs/>
                          <w:sz w:val="18"/>
                          <w:szCs w:val="18"/>
                          <w:vertAlign w:val="subscript"/>
                        </w:rPr>
                        <w:t xml:space="preserve">o </w:t>
                      </w:r>
                      <w:r w:rsidRPr="007919B6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~ 51.45 MHz).</w:t>
                      </w:r>
                    </w:p>
                    <w:p w:rsidR="007919B6" w:rsidRPr="007919B6" w:rsidRDefault="007919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524EE"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090A8C" w:rsidRPr="00090A8C" w:rsidRDefault="00BB1825" w:rsidP="00090A8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B1825">
        <w:rPr>
          <w:rFonts w:ascii="Arial" w:hAnsi="Arial" w:cs="Arial"/>
          <w:b/>
          <w:sz w:val="20"/>
          <w:szCs w:val="20"/>
        </w:rPr>
        <w:t xml:space="preserve">Fig. 1 </w:t>
      </w:r>
      <w:r>
        <w:rPr>
          <w:rFonts w:ascii="Arial" w:hAnsi="Arial" w:cs="Arial"/>
          <w:sz w:val="20"/>
          <w:szCs w:val="20"/>
        </w:rPr>
        <w:t>shows the t</w:t>
      </w:r>
      <w:r w:rsidRPr="00BB1825">
        <w:rPr>
          <w:rFonts w:ascii="Arial" w:hAnsi="Arial" w:cs="Arial"/>
          <w:sz w:val="20"/>
          <w:szCs w:val="20"/>
        </w:rPr>
        <w:t xml:space="preserve">emperature dependence of the </w:t>
      </w:r>
      <w:r w:rsidRPr="00BB1825">
        <w:rPr>
          <w:rFonts w:ascii="Arial" w:hAnsi="Arial" w:cs="Arial"/>
          <w:sz w:val="20"/>
          <w:szCs w:val="20"/>
          <w:vertAlign w:val="superscript"/>
        </w:rPr>
        <w:t>1</w:t>
      </w:r>
      <w:r w:rsidRPr="00BB1825">
        <w:rPr>
          <w:rFonts w:ascii="Arial" w:hAnsi="Arial" w:cs="Arial"/>
          <w:sz w:val="20"/>
          <w:szCs w:val="20"/>
        </w:rPr>
        <w:t>H spectra as the system crosses the magnetic ordering temperature.</w:t>
      </w:r>
      <w:r w:rsidRPr="00BB1825">
        <w:rPr>
          <w:rFonts w:eastAsiaTheme="minorEastAsia"/>
          <w:color w:val="005782"/>
          <w:kern w:val="24"/>
          <w:sz w:val="15"/>
          <w:szCs w:val="15"/>
        </w:rPr>
        <w:t xml:space="preserve"> </w:t>
      </w:r>
      <w:r w:rsidR="00090A8C">
        <w:rPr>
          <w:rFonts w:eastAsiaTheme="minorEastAsia"/>
          <w:color w:val="005782"/>
          <w:kern w:val="24"/>
          <w:sz w:val="15"/>
          <w:szCs w:val="15"/>
        </w:rPr>
        <w:t xml:space="preserve"> </w:t>
      </w:r>
      <w:r w:rsidR="00090A8C">
        <w:rPr>
          <w:rFonts w:ascii="Arial" w:hAnsi="Arial" w:cs="Arial"/>
          <w:sz w:val="20"/>
          <w:szCs w:val="20"/>
        </w:rPr>
        <w:t xml:space="preserve">Above </w:t>
      </w:r>
      <w:r w:rsidR="00090A8C" w:rsidRPr="00BB1825">
        <w:rPr>
          <w:rFonts w:ascii="Arial" w:hAnsi="Arial" w:cs="Arial"/>
          <w:i/>
          <w:iCs/>
          <w:sz w:val="20"/>
          <w:szCs w:val="20"/>
        </w:rPr>
        <w:t>T</w:t>
      </w:r>
      <w:r w:rsidR="00090A8C" w:rsidRPr="00BB1825">
        <w:rPr>
          <w:rFonts w:ascii="Arial" w:hAnsi="Arial" w:cs="Arial"/>
          <w:sz w:val="20"/>
          <w:szCs w:val="20"/>
          <w:vertAlign w:val="subscript"/>
        </w:rPr>
        <w:t>C</w:t>
      </w:r>
      <w:r w:rsidR="00090A8C">
        <w:rPr>
          <w:rFonts w:ascii="Arial" w:hAnsi="Arial" w:cs="Arial"/>
          <w:sz w:val="20"/>
          <w:szCs w:val="20"/>
        </w:rPr>
        <w:t>, the s</w:t>
      </w:r>
      <w:r w:rsidR="00E864D0">
        <w:rPr>
          <w:rFonts w:ascii="Arial" w:hAnsi="Arial" w:cs="Arial"/>
          <w:sz w:val="20"/>
          <w:szCs w:val="20"/>
        </w:rPr>
        <w:t>pectra</w:t>
      </w:r>
      <w:r w:rsidRPr="00BB1825">
        <w:rPr>
          <w:rFonts w:ascii="Arial" w:hAnsi="Arial" w:cs="Arial"/>
          <w:sz w:val="20"/>
          <w:szCs w:val="20"/>
        </w:rPr>
        <w:t xml:space="preserve"> simplif</w:t>
      </w:r>
      <w:r w:rsidR="00E864D0">
        <w:rPr>
          <w:rFonts w:ascii="Arial" w:hAnsi="Arial" w:cs="Arial"/>
          <w:sz w:val="20"/>
          <w:szCs w:val="20"/>
        </w:rPr>
        <w:t>y</w:t>
      </w:r>
      <w:r w:rsidRPr="00BB1825">
        <w:rPr>
          <w:rFonts w:ascii="Arial" w:hAnsi="Arial" w:cs="Arial"/>
          <w:sz w:val="20"/>
          <w:szCs w:val="20"/>
        </w:rPr>
        <w:t xml:space="preserve"> to a three</w:t>
      </w:r>
      <w:r w:rsidR="005D2D5E">
        <w:rPr>
          <w:rFonts w:ascii="Arial" w:hAnsi="Arial" w:cs="Arial"/>
          <w:sz w:val="20"/>
          <w:szCs w:val="20"/>
        </w:rPr>
        <w:t>-</w:t>
      </w:r>
      <w:r w:rsidRPr="00BB1825">
        <w:rPr>
          <w:rFonts w:ascii="Arial" w:hAnsi="Arial" w:cs="Arial"/>
          <w:sz w:val="20"/>
          <w:szCs w:val="20"/>
        </w:rPr>
        <w:t>peak signal</w:t>
      </w:r>
      <w:r w:rsidR="00090A8C">
        <w:rPr>
          <w:rFonts w:ascii="Arial" w:hAnsi="Arial" w:cs="Arial"/>
          <w:sz w:val="20"/>
          <w:szCs w:val="20"/>
        </w:rPr>
        <w:t>:</w:t>
      </w:r>
      <w:r w:rsidRPr="00BB1825">
        <w:rPr>
          <w:rFonts w:ascii="Arial" w:hAnsi="Arial" w:cs="Arial"/>
          <w:sz w:val="20"/>
          <w:szCs w:val="20"/>
        </w:rPr>
        <w:t xml:space="preserve"> </w:t>
      </w:r>
      <w:r w:rsidR="004C37FF">
        <w:rPr>
          <w:rFonts w:ascii="Arial" w:hAnsi="Arial" w:cs="Arial"/>
          <w:sz w:val="20"/>
          <w:szCs w:val="20"/>
          <w:lang w:val="pt-BR"/>
        </w:rPr>
        <w:t xml:space="preserve">(Left) amine H, (Central) </w:t>
      </w:r>
      <w:r w:rsidR="00193561">
        <w:rPr>
          <w:rFonts w:ascii="Arial" w:hAnsi="Arial" w:cs="Arial"/>
          <w:sz w:val="20"/>
          <w:szCs w:val="20"/>
          <w:lang w:val="pt-BR"/>
        </w:rPr>
        <w:t>methyl</w:t>
      </w:r>
      <w:r w:rsidRPr="00BB1825">
        <w:rPr>
          <w:rFonts w:ascii="Arial" w:hAnsi="Arial" w:cs="Arial"/>
          <w:sz w:val="20"/>
          <w:szCs w:val="20"/>
          <w:lang w:val="pt-BR"/>
        </w:rPr>
        <w:t xml:space="preserve">, (Right) formate. Below </w:t>
      </w:r>
      <w:r w:rsidRPr="00BB1825">
        <w:rPr>
          <w:rFonts w:ascii="Arial" w:hAnsi="Arial" w:cs="Arial"/>
          <w:i/>
          <w:iCs/>
          <w:sz w:val="20"/>
          <w:szCs w:val="20"/>
        </w:rPr>
        <w:t>T</w:t>
      </w:r>
      <w:r w:rsidRPr="00BB1825">
        <w:rPr>
          <w:rFonts w:ascii="Arial" w:hAnsi="Arial" w:cs="Arial"/>
          <w:sz w:val="20"/>
          <w:szCs w:val="20"/>
          <w:vertAlign w:val="subscript"/>
        </w:rPr>
        <w:t>C</w:t>
      </w:r>
      <w:r w:rsidRPr="00BB1825">
        <w:rPr>
          <w:rFonts w:ascii="Arial" w:hAnsi="Arial" w:cs="Arial"/>
          <w:sz w:val="20"/>
          <w:szCs w:val="20"/>
          <w:lang w:val="pt-BR"/>
        </w:rPr>
        <w:t xml:space="preserve">, the position of the outermost peak fits with a critical scaling with  exponent </w:t>
      </w:r>
      <w:r w:rsidRPr="00BB1825">
        <w:rPr>
          <w:rFonts w:ascii="Symbol" w:hAnsi="Symbol" w:cs="Arial"/>
          <w:i/>
          <w:iCs/>
          <w:sz w:val="20"/>
          <w:szCs w:val="20"/>
          <w:lang w:val="pt-BR"/>
        </w:rPr>
        <w:t></w:t>
      </w:r>
      <w:r w:rsidRPr="00BB1825">
        <w:rPr>
          <w:rFonts w:ascii="Arial" w:hAnsi="Arial" w:cs="Arial"/>
          <w:i/>
          <w:iCs/>
          <w:sz w:val="20"/>
          <w:szCs w:val="20"/>
          <w:lang w:val="pt-BR"/>
        </w:rPr>
        <w:t xml:space="preserve"> </w:t>
      </w:r>
      <w:r w:rsidR="00090A8C">
        <w:rPr>
          <w:rFonts w:ascii="Arial" w:hAnsi="Arial" w:cs="Arial"/>
          <w:sz w:val="20"/>
          <w:szCs w:val="20"/>
          <w:lang w:val="pt-BR"/>
        </w:rPr>
        <w:t>~ ¼, compared with</w:t>
      </w:r>
      <w:r w:rsidRPr="00BB1825">
        <w:rPr>
          <w:rFonts w:ascii="Arial" w:hAnsi="Arial" w:cs="Arial"/>
          <w:sz w:val="20"/>
          <w:szCs w:val="20"/>
          <w:lang w:val="pt-BR"/>
        </w:rPr>
        <w:t xml:space="preserve"> the Mean Field</w:t>
      </w:r>
      <w:r w:rsidR="00F402D1">
        <w:rPr>
          <w:rFonts w:ascii="Arial" w:hAnsi="Arial" w:cs="Arial"/>
          <w:sz w:val="20"/>
          <w:szCs w:val="20"/>
          <w:lang w:val="pt-BR"/>
        </w:rPr>
        <w:t xml:space="preserve"> (MF)</w:t>
      </w:r>
      <w:r w:rsidRPr="00BB1825">
        <w:rPr>
          <w:rFonts w:ascii="Arial" w:hAnsi="Arial" w:cs="Arial"/>
          <w:sz w:val="20"/>
          <w:szCs w:val="20"/>
          <w:lang w:val="pt-BR"/>
        </w:rPr>
        <w:t xml:space="preserve"> </w:t>
      </w:r>
      <w:r w:rsidR="00F402D1">
        <w:rPr>
          <w:rFonts w:ascii="Arial" w:hAnsi="Arial" w:cs="Arial"/>
          <w:sz w:val="20"/>
          <w:szCs w:val="20"/>
          <w:lang w:val="pt-BR"/>
        </w:rPr>
        <w:t>model</w:t>
      </w:r>
      <w:r w:rsidRPr="00BB1825">
        <w:rPr>
          <w:rFonts w:ascii="Arial" w:hAnsi="Arial" w:cs="Arial"/>
          <w:sz w:val="20"/>
          <w:szCs w:val="20"/>
          <w:lang w:val="pt-BR"/>
        </w:rPr>
        <w:t xml:space="preserve"> (</w:t>
      </w:r>
      <w:r w:rsidRPr="00BB1825">
        <w:rPr>
          <w:rFonts w:ascii="Symbol" w:hAnsi="Symbol" w:cs="Arial"/>
          <w:i/>
          <w:iCs/>
          <w:sz w:val="20"/>
          <w:szCs w:val="20"/>
          <w:lang w:val="pt-BR"/>
        </w:rPr>
        <w:t></w:t>
      </w:r>
      <w:r w:rsidRPr="00BB1825">
        <w:rPr>
          <w:rFonts w:ascii="Symbol" w:hAnsi="Symbol" w:cs="Arial"/>
          <w:i/>
          <w:iCs/>
          <w:sz w:val="20"/>
          <w:szCs w:val="20"/>
          <w:lang w:val="pt-BR"/>
        </w:rPr>
        <w:t></w:t>
      </w:r>
      <w:r w:rsidR="00F402D1">
        <w:rPr>
          <w:rFonts w:ascii="Arial" w:hAnsi="Arial" w:cs="Arial"/>
          <w:sz w:val="20"/>
          <w:szCs w:val="20"/>
          <w:lang w:val="pt-BR"/>
        </w:rPr>
        <w:t>=</w:t>
      </w:r>
      <w:r>
        <w:rPr>
          <w:rFonts w:ascii="Arial" w:hAnsi="Arial" w:cs="Arial"/>
          <w:sz w:val="20"/>
          <w:szCs w:val="20"/>
          <w:lang w:val="pt-BR"/>
        </w:rPr>
        <w:t xml:space="preserve"> ½)  </w:t>
      </w:r>
      <w:r w:rsidR="00090A8C">
        <w:rPr>
          <w:rFonts w:ascii="Arial" w:hAnsi="Arial" w:cs="Arial"/>
          <w:sz w:val="20"/>
          <w:szCs w:val="20"/>
          <w:lang w:val="pt-BR"/>
        </w:rPr>
        <w:t>(</w:t>
      </w:r>
      <w:r w:rsidRPr="00BB1825">
        <w:rPr>
          <w:rFonts w:ascii="Arial" w:hAnsi="Arial" w:cs="Arial"/>
          <w:b/>
          <w:sz w:val="20"/>
          <w:szCs w:val="20"/>
          <w:lang w:val="pt-BR"/>
        </w:rPr>
        <w:t>Fig. 2</w:t>
      </w:r>
      <w:r w:rsidR="00090A8C" w:rsidRPr="00193561">
        <w:rPr>
          <w:rFonts w:ascii="Arial" w:hAnsi="Arial" w:cs="Arial"/>
          <w:sz w:val="20"/>
          <w:szCs w:val="20"/>
          <w:lang w:val="pt-BR"/>
        </w:rPr>
        <w:t>)</w:t>
      </w:r>
      <w:r w:rsidRPr="00BB1825">
        <w:rPr>
          <w:rFonts w:ascii="Arial" w:hAnsi="Arial" w:cs="Arial"/>
          <w:sz w:val="20"/>
          <w:szCs w:val="20"/>
          <w:lang w:val="pt-BR"/>
        </w:rPr>
        <w:t>.</w:t>
      </w:r>
      <w:r w:rsidR="00090A8C">
        <w:rPr>
          <w:rFonts w:ascii="Arial" w:hAnsi="Arial" w:cs="Arial"/>
          <w:sz w:val="20"/>
          <w:szCs w:val="20"/>
          <w:lang w:val="pt-BR"/>
        </w:rPr>
        <w:t xml:space="preserve"> </w:t>
      </w:r>
      <w:r w:rsidR="00090A8C" w:rsidRPr="00090A8C">
        <w:rPr>
          <w:rFonts w:ascii="Arial" w:hAnsi="Arial" w:cs="Arial"/>
          <w:sz w:val="20"/>
          <w:szCs w:val="20"/>
        </w:rPr>
        <w:t xml:space="preserve">Spectra for </w:t>
      </w:r>
      <w:r w:rsidR="00090A8C" w:rsidRPr="00090A8C">
        <w:rPr>
          <w:rFonts w:ascii="Arial" w:hAnsi="Arial" w:cs="Arial"/>
          <w:sz w:val="20"/>
          <w:szCs w:val="20"/>
          <w:vertAlign w:val="superscript"/>
        </w:rPr>
        <w:t>55</w:t>
      </w:r>
      <w:r w:rsidR="00090A8C" w:rsidRPr="00090A8C">
        <w:rPr>
          <w:rFonts w:ascii="Arial" w:hAnsi="Arial" w:cs="Arial"/>
          <w:sz w:val="20"/>
          <w:szCs w:val="20"/>
        </w:rPr>
        <w:t>Mn</w:t>
      </w:r>
      <w:r w:rsidR="00090A8C">
        <w:rPr>
          <w:rFonts w:ascii="Arial" w:hAnsi="Arial" w:cs="Arial"/>
          <w:sz w:val="20"/>
          <w:szCs w:val="20"/>
        </w:rPr>
        <w:t xml:space="preserve"> (not shown)</w:t>
      </w:r>
      <w:r w:rsidR="00090A8C" w:rsidRPr="00090A8C">
        <w:rPr>
          <w:rFonts w:ascii="Arial" w:hAnsi="Arial" w:cs="Arial"/>
          <w:sz w:val="20"/>
          <w:szCs w:val="20"/>
        </w:rPr>
        <w:t xml:space="preserve"> were obtained at zero-field</w:t>
      </w:r>
      <w:r w:rsidR="005D2D5E">
        <w:rPr>
          <w:rFonts w:ascii="Arial" w:hAnsi="Arial" w:cs="Arial"/>
          <w:sz w:val="20"/>
          <w:szCs w:val="20"/>
        </w:rPr>
        <w:t xml:space="preserve"> and</w:t>
      </w:r>
      <w:r w:rsidR="00090A8C">
        <w:rPr>
          <w:rFonts w:ascii="Arial" w:hAnsi="Arial" w:cs="Arial"/>
          <w:sz w:val="20"/>
          <w:szCs w:val="20"/>
        </w:rPr>
        <w:t xml:space="preserve"> was </w:t>
      </w:r>
      <w:r w:rsidR="00090A8C" w:rsidRPr="00090A8C">
        <w:rPr>
          <w:rFonts w:ascii="Arial" w:hAnsi="Arial" w:cs="Arial"/>
          <w:sz w:val="20"/>
          <w:szCs w:val="20"/>
        </w:rPr>
        <w:t>interpreted to originate from AF ordered Mn moment</w:t>
      </w:r>
      <w:r w:rsidR="00505259">
        <w:rPr>
          <w:rFonts w:ascii="Arial" w:hAnsi="Arial" w:cs="Arial"/>
          <w:sz w:val="20"/>
          <w:szCs w:val="20"/>
        </w:rPr>
        <w:t>s producing 8T hyperfine field</w:t>
      </w:r>
      <w:r w:rsidR="00090A8C" w:rsidRPr="00090A8C">
        <w:rPr>
          <w:rFonts w:ascii="Arial" w:hAnsi="Arial" w:cs="Arial"/>
          <w:sz w:val="20"/>
          <w:szCs w:val="20"/>
        </w:rPr>
        <w:t>.</w:t>
      </w:r>
      <w:r w:rsidR="00505259">
        <w:rPr>
          <w:rFonts w:ascii="Arial" w:hAnsi="Arial" w:cs="Arial"/>
          <w:sz w:val="20"/>
          <w:szCs w:val="20"/>
        </w:rPr>
        <w:t xml:space="preserve"> This </w:t>
      </w:r>
      <w:r w:rsidR="00090A8C" w:rsidRPr="00090A8C">
        <w:rPr>
          <w:rFonts w:ascii="Arial" w:hAnsi="Arial" w:cs="Arial"/>
          <w:sz w:val="20"/>
          <w:szCs w:val="20"/>
        </w:rPr>
        <w:t xml:space="preserve">signal is suppressed above </w:t>
      </w:r>
      <w:r w:rsidR="00AF18A0">
        <w:rPr>
          <w:rFonts w:ascii="Arial" w:hAnsi="Arial" w:cs="Arial"/>
          <w:sz w:val="20"/>
          <w:szCs w:val="20"/>
        </w:rPr>
        <w:t>0.</w:t>
      </w:r>
      <w:r w:rsidR="00090A8C" w:rsidRPr="00090A8C">
        <w:rPr>
          <w:rFonts w:ascii="Arial" w:hAnsi="Arial" w:cs="Arial"/>
          <w:sz w:val="20"/>
          <w:szCs w:val="20"/>
        </w:rPr>
        <w:t>3T</w:t>
      </w:r>
      <w:r w:rsidR="00090A8C">
        <w:rPr>
          <w:rFonts w:ascii="Arial" w:hAnsi="Arial" w:cs="Arial"/>
          <w:sz w:val="20"/>
          <w:szCs w:val="20"/>
        </w:rPr>
        <w:t>,</w:t>
      </w:r>
      <w:r w:rsidR="00090A8C" w:rsidRPr="00090A8C">
        <w:rPr>
          <w:rFonts w:ascii="Arial" w:hAnsi="Arial" w:cs="Arial"/>
          <w:sz w:val="20"/>
          <w:szCs w:val="20"/>
        </w:rPr>
        <w:t xml:space="preserve"> consistent with</w:t>
      </w:r>
      <w:r w:rsidR="00090A8C">
        <w:rPr>
          <w:rFonts w:ascii="Arial" w:hAnsi="Arial" w:cs="Arial"/>
          <w:sz w:val="20"/>
          <w:szCs w:val="20"/>
        </w:rPr>
        <w:t xml:space="preserve"> the spin-flop transition. [</w:t>
      </w:r>
      <w:r w:rsidR="00E864D0">
        <w:rPr>
          <w:rFonts w:ascii="Arial" w:hAnsi="Arial" w:cs="Arial"/>
          <w:sz w:val="20"/>
          <w:szCs w:val="20"/>
        </w:rPr>
        <w:t>2</w:t>
      </w:r>
      <w:r w:rsidR="00090A8C">
        <w:rPr>
          <w:rFonts w:ascii="Arial" w:hAnsi="Arial" w:cs="Arial"/>
          <w:sz w:val="20"/>
          <w:szCs w:val="20"/>
        </w:rPr>
        <w:t xml:space="preserve">] </w:t>
      </w:r>
      <w:r w:rsidR="00090A8C" w:rsidRPr="00090A8C">
        <w:rPr>
          <w:rFonts w:ascii="Arial" w:hAnsi="Arial" w:cs="Arial"/>
          <w:sz w:val="20"/>
          <w:szCs w:val="20"/>
        </w:rPr>
        <w:t xml:space="preserve">The proton relaxation of the </w:t>
      </w:r>
      <w:r w:rsidR="00193561">
        <w:rPr>
          <w:rFonts w:ascii="Arial" w:hAnsi="Arial" w:cs="Arial"/>
          <w:sz w:val="20"/>
          <w:szCs w:val="20"/>
        </w:rPr>
        <w:t>methyl</w:t>
      </w:r>
      <w:r w:rsidR="00090A8C" w:rsidRPr="00090A8C">
        <w:rPr>
          <w:rFonts w:ascii="Arial" w:hAnsi="Arial" w:cs="Arial"/>
          <w:sz w:val="20"/>
          <w:szCs w:val="20"/>
        </w:rPr>
        <w:t xml:space="preserve"> line exhibits double exponential behavior</w:t>
      </w:r>
      <w:r w:rsidR="00505259">
        <w:rPr>
          <w:rFonts w:ascii="Arial" w:hAnsi="Arial" w:cs="Arial"/>
          <w:sz w:val="20"/>
          <w:szCs w:val="20"/>
        </w:rPr>
        <w:t xml:space="preserve">. </w:t>
      </w:r>
      <w:r w:rsidR="00090A8C">
        <w:rPr>
          <w:rFonts w:ascii="Arial" w:hAnsi="Arial" w:cs="Arial"/>
          <w:sz w:val="20"/>
          <w:szCs w:val="20"/>
        </w:rPr>
        <w:t xml:space="preserve"> </w:t>
      </w:r>
      <w:r w:rsidR="00090A8C" w:rsidRPr="00505259">
        <w:rPr>
          <w:rFonts w:ascii="Arial" w:hAnsi="Arial" w:cs="Arial"/>
          <w:b/>
          <w:sz w:val="20"/>
          <w:szCs w:val="20"/>
        </w:rPr>
        <w:t>Fig</w:t>
      </w:r>
      <w:r w:rsidR="00505259" w:rsidRPr="00505259">
        <w:rPr>
          <w:rFonts w:ascii="Arial" w:hAnsi="Arial" w:cs="Arial"/>
          <w:b/>
          <w:sz w:val="20"/>
          <w:szCs w:val="20"/>
        </w:rPr>
        <w:t>.</w:t>
      </w:r>
      <w:r w:rsidR="00193561">
        <w:rPr>
          <w:rFonts w:ascii="Arial" w:hAnsi="Arial" w:cs="Arial"/>
          <w:b/>
          <w:sz w:val="20"/>
          <w:szCs w:val="20"/>
        </w:rPr>
        <w:t xml:space="preserve"> </w:t>
      </w:r>
      <w:r w:rsidR="00505259" w:rsidRPr="00505259">
        <w:rPr>
          <w:rFonts w:ascii="Arial" w:hAnsi="Arial" w:cs="Arial"/>
          <w:b/>
          <w:sz w:val="20"/>
          <w:szCs w:val="20"/>
        </w:rPr>
        <w:t>3</w:t>
      </w:r>
      <w:r w:rsidR="00090A8C" w:rsidRPr="00090A8C">
        <w:rPr>
          <w:rFonts w:ascii="Arial" w:hAnsi="Arial" w:cs="Arial"/>
          <w:sz w:val="20"/>
          <w:szCs w:val="20"/>
        </w:rPr>
        <w:t xml:space="preserve"> shows the short component (red) is weakly temperature dependent at high temperatures but undergoes critical fluctuations as the system crosses the magnetic boundary (</w:t>
      </w:r>
      <w:r w:rsidR="00090A8C" w:rsidRPr="00090A8C">
        <w:rPr>
          <w:rFonts w:ascii="Arial" w:hAnsi="Arial" w:cs="Arial"/>
          <w:i/>
          <w:iCs/>
          <w:sz w:val="20"/>
          <w:szCs w:val="20"/>
        </w:rPr>
        <w:t>T</w:t>
      </w:r>
      <w:r w:rsidR="00090A8C" w:rsidRPr="00090A8C">
        <w:rPr>
          <w:rFonts w:ascii="Arial" w:hAnsi="Arial" w:cs="Arial"/>
          <w:sz w:val="20"/>
          <w:szCs w:val="20"/>
          <w:vertAlign w:val="subscript"/>
        </w:rPr>
        <w:t xml:space="preserve">C </w:t>
      </w:r>
      <w:r w:rsidR="00090A8C" w:rsidRPr="00090A8C">
        <w:rPr>
          <w:rFonts w:ascii="Arial" w:hAnsi="Arial" w:cs="Arial"/>
          <w:sz w:val="20"/>
          <w:szCs w:val="20"/>
        </w:rPr>
        <w:t>= 8.32K), consistent with a spin gap model. The long T</w:t>
      </w:r>
      <w:r w:rsidR="00090A8C" w:rsidRPr="00090A8C">
        <w:rPr>
          <w:rFonts w:ascii="Arial" w:hAnsi="Arial" w:cs="Arial"/>
          <w:sz w:val="20"/>
          <w:szCs w:val="20"/>
          <w:vertAlign w:val="subscript"/>
        </w:rPr>
        <w:t>1</w:t>
      </w:r>
      <w:r w:rsidR="00090A8C" w:rsidRPr="00090A8C">
        <w:rPr>
          <w:rFonts w:ascii="Arial" w:hAnsi="Arial" w:cs="Arial"/>
          <w:sz w:val="20"/>
          <w:szCs w:val="20"/>
        </w:rPr>
        <w:t xml:space="preserve"> component (blue) on the other hand shows a dip below 150K near the FE transition and is not sensitive to the magnetic order. This difference is not yet clearly understood. 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734E94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0A8C" w:rsidRPr="00090A8C">
        <w:rPr>
          <w:rFonts w:ascii="Arial" w:hAnsi="Arial" w:cs="Arial"/>
          <w:sz w:val="20"/>
          <w:szCs w:val="20"/>
        </w:rPr>
        <w:t xml:space="preserve">The </w:t>
      </w:r>
      <w:r w:rsidR="00090A8C" w:rsidRPr="00090A8C">
        <w:rPr>
          <w:rFonts w:ascii="Arial" w:hAnsi="Arial" w:cs="Arial"/>
          <w:sz w:val="20"/>
          <w:szCs w:val="20"/>
          <w:vertAlign w:val="superscript"/>
        </w:rPr>
        <w:t>55</w:t>
      </w:r>
      <w:r w:rsidR="00090A8C" w:rsidRPr="00090A8C">
        <w:rPr>
          <w:rFonts w:ascii="Arial" w:hAnsi="Arial" w:cs="Arial"/>
          <w:sz w:val="20"/>
          <w:szCs w:val="20"/>
        </w:rPr>
        <w:t xml:space="preserve">Mn and </w:t>
      </w:r>
      <w:r w:rsidR="00090A8C" w:rsidRPr="00090A8C">
        <w:rPr>
          <w:rFonts w:ascii="Arial" w:hAnsi="Arial" w:cs="Arial"/>
          <w:sz w:val="20"/>
          <w:szCs w:val="20"/>
          <w:vertAlign w:val="superscript"/>
        </w:rPr>
        <w:t>1</w:t>
      </w:r>
      <w:r w:rsidR="00090A8C" w:rsidRPr="00090A8C">
        <w:rPr>
          <w:rFonts w:ascii="Arial" w:hAnsi="Arial" w:cs="Arial"/>
          <w:sz w:val="20"/>
          <w:szCs w:val="20"/>
        </w:rPr>
        <w:t xml:space="preserve">H NMR provided microscopic details on the AF phase transitions of DMMnF. Strong hyperfine fields from local Mn moments are observed whose </w:t>
      </w:r>
      <w:r w:rsidR="00505259">
        <w:rPr>
          <w:rFonts w:ascii="Arial" w:hAnsi="Arial" w:cs="Arial"/>
          <w:sz w:val="20"/>
          <w:szCs w:val="20"/>
        </w:rPr>
        <w:t xml:space="preserve">fluctuations are </w:t>
      </w:r>
      <w:r w:rsidR="00090A8C" w:rsidRPr="00090A8C">
        <w:rPr>
          <w:rFonts w:ascii="Arial" w:hAnsi="Arial" w:cs="Arial"/>
          <w:sz w:val="20"/>
          <w:szCs w:val="20"/>
          <w:lang w:val="pt-BR"/>
        </w:rPr>
        <w:t xml:space="preserve">faster than MF prediction. </w:t>
      </w:r>
      <w:r w:rsidR="00090A8C" w:rsidRPr="00090A8C">
        <w:rPr>
          <w:rFonts w:ascii="Arial" w:hAnsi="Arial" w:cs="Arial"/>
          <w:sz w:val="20"/>
          <w:szCs w:val="20"/>
        </w:rPr>
        <w:t xml:space="preserve">The fast relaxation data suggest a spin gap in the density of states while the long component probably samples a different part of the spin fluctuation spectrum. </w:t>
      </w:r>
    </w:p>
    <w:p w:rsidR="00505259" w:rsidRPr="006B3824" w:rsidRDefault="0050525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090A8C">
        <w:rPr>
          <w:rFonts w:ascii="Arial" w:eastAsia="Times New Roman" w:hAnsi="Arial" w:cs="Arial"/>
          <w:sz w:val="20"/>
          <w:szCs w:val="20"/>
          <w:lang w:eastAsia="en-US"/>
        </w:rPr>
        <w:t>This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A2312B" w:rsidRPr="00FE16CD" w:rsidRDefault="00A2312B" w:rsidP="0049187D">
      <w:pPr>
        <w:tabs>
          <w:tab w:val="left" w:pos="360"/>
        </w:tabs>
        <w:rPr>
          <w:rFonts w:ascii="Arial" w:hAnsi="Arial" w:cs="Arial"/>
          <w:iCs/>
          <w:sz w:val="20"/>
          <w:szCs w:val="20"/>
          <w:lang w:val="de-DE"/>
        </w:rPr>
      </w:pPr>
      <w:r w:rsidRPr="00A2312B">
        <w:rPr>
          <w:rFonts w:ascii="Arial" w:hAnsi="Arial" w:cs="Arial"/>
          <w:sz w:val="20"/>
          <w:szCs w:val="20"/>
        </w:rPr>
        <w:t xml:space="preserve">[1] P. Jain </w:t>
      </w:r>
      <w:r w:rsidRPr="00FE16CD">
        <w:rPr>
          <w:rFonts w:ascii="Arial" w:hAnsi="Arial" w:cs="Arial"/>
          <w:i/>
          <w:sz w:val="20"/>
          <w:szCs w:val="20"/>
        </w:rPr>
        <w:t>et al</w:t>
      </w:r>
      <w:r w:rsidRPr="00A2312B">
        <w:rPr>
          <w:rFonts w:ascii="Arial" w:hAnsi="Arial" w:cs="Arial"/>
          <w:sz w:val="20"/>
          <w:szCs w:val="20"/>
        </w:rPr>
        <w:t xml:space="preserve">., </w:t>
      </w:r>
      <w:r w:rsidRPr="00FE16CD">
        <w:rPr>
          <w:rFonts w:ascii="Arial" w:hAnsi="Arial" w:cs="Arial"/>
          <w:iCs/>
          <w:sz w:val="20"/>
          <w:szCs w:val="20"/>
          <w:lang w:val="de-DE"/>
        </w:rPr>
        <w:t xml:space="preserve">J. Am. Chem. Soc. </w:t>
      </w:r>
      <w:r w:rsidRPr="00FE16CD">
        <w:rPr>
          <w:rFonts w:ascii="Arial" w:hAnsi="Arial" w:cs="Arial"/>
          <w:b/>
          <w:bCs/>
          <w:iCs/>
          <w:sz w:val="20"/>
          <w:szCs w:val="20"/>
          <w:lang w:val="de-DE"/>
        </w:rPr>
        <w:t>131</w:t>
      </w:r>
      <w:r w:rsidRPr="00FE16CD">
        <w:rPr>
          <w:rFonts w:ascii="Arial" w:hAnsi="Arial" w:cs="Arial"/>
          <w:iCs/>
          <w:sz w:val="20"/>
          <w:szCs w:val="20"/>
          <w:lang w:val="de-DE"/>
        </w:rPr>
        <w:t xml:space="preserve">, 13625 (2009). </w:t>
      </w:r>
    </w:p>
    <w:p w:rsidR="00F908F6" w:rsidRPr="006B3824" w:rsidRDefault="0050525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v-SE"/>
        </w:rPr>
        <w:t>[2</w:t>
      </w:r>
      <w:r w:rsidR="00A2312B" w:rsidRPr="00A2312B">
        <w:rPr>
          <w:rFonts w:ascii="Arial" w:hAnsi="Arial" w:cs="Arial"/>
          <w:sz w:val="20"/>
          <w:szCs w:val="20"/>
        </w:rPr>
        <w:t xml:space="preserve">] Clune </w:t>
      </w:r>
      <w:r w:rsidR="00A2312B" w:rsidRPr="00FE16CD">
        <w:rPr>
          <w:rFonts w:ascii="Arial" w:hAnsi="Arial" w:cs="Arial"/>
          <w:i/>
          <w:sz w:val="20"/>
          <w:szCs w:val="20"/>
        </w:rPr>
        <w:t>et al</w:t>
      </w:r>
      <w:r w:rsidR="00A2312B" w:rsidRPr="00A2312B">
        <w:rPr>
          <w:rFonts w:ascii="Arial" w:hAnsi="Arial" w:cs="Arial"/>
          <w:sz w:val="20"/>
          <w:szCs w:val="20"/>
        </w:rPr>
        <w:t xml:space="preserve">., </w:t>
      </w:r>
      <w:r w:rsidR="00A2312B" w:rsidRPr="00FE16CD">
        <w:rPr>
          <w:rFonts w:ascii="Arial" w:hAnsi="Arial" w:cs="Arial"/>
          <w:iCs/>
          <w:sz w:val="20"/>
          <w:szCs w:val="20"/>
        </w:rPr>
        <w:t>Physical Review B</w:t>
      </w:r>
      <w:r w:rsidR="00A2312B" w:rsidRPr="00A2312B">
        <w:rPr>
          <w:rFonts w:ascii="Arial" w:hAnsi="Arial" w:cs="Arial"/>
          <w:i/>
          <w:iCs/>
          <w:sz w:val="20"/>
          <w:szCs w:val="20"/>
        </w:rPr>
        <w:t>,</w:t>
      </w:r>
      <w:r w:rsidR="00A2312B" w:rsidRPr="00A2312B">
        <w:rPr>
          <w:rFonts w:ascii="Arial" w:hAnsi="Arial" w:cs="Arial"/>
          <w:b/>
          <w:bCs/>
          <w:sz w:val="20"/>
          <w:szCs w:val="20"/>
        </w:rPr>
        <w:t>96,</w:t>
      </w:r>
      <w:r w:rsidR="00A2312B" w:rsidRPr="00A2312B">
        <w:rPr>
          <w:rFonts w:ascii="Arial" w:hAnsi="Arial" w:cs="Arial"/>
          <w:sz w:val="20"/>
          <w:szCs w:val="20"/>
        </w:rPr>
        <w:t xml:space="preserve"> 104424, (2017).</w:t>
      </w:r>
    </w:p>
    <w:sectPr w:rsidR="00F908F6" w:rsidRPr="006B3824" w:rsidSect="00450C97">
      <w:headerReference w:type="defaul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D7" w:rsidRDefault="00035ED7">
      <w:r>
        <w:separator/>
      </w:r>
    </w:p>
  </w:endnote>
  <w:endnote w:type="continuationSeparator" w:id="0">
    <w:p w:rsidR="00035ED7" w:rsidRDefault="0003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ahoma Bold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D7" w:rsidRDefault="00035ED7">
      <w:r>
        <w:separator/>
      </w:r>
    </w:p>
  </w:footnote>
  <w:footnote w:type="continuationSeparator" w:id="0">
    <w:p w:rsidR="00035ED7" w:rsidRDefault="0003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8348C5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943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E31E6"/>
    <w:multiLevelType w:val="hybridMultilevel"/>
    <w:tmpl w:val="0B007AAE"/>
    <w:lvl w:ilvl="0" w:tplc="F4D65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AE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0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6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0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B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04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21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35ED7"/>
    <w:rsid w:val="000558AC"/>
    <w:rsid w:val="000669AF"/>
    <w:rsid w:val="0006725C"/>
    <w:rsid w:val="000736B9"/>
    <w:rsid w:val="00085670"/>
    <w:rsid w:val="00090A8C"/>
    <w:rsid w:val="00091A2B"/>
    <w:rsid w:val="000A1716"/>
    <w:rsid w:val="000A59A8"/>
    <w:rsid w:val="000E1D4F"/>
    <w:rsid w:val="00104A4C"/>
    <w:rsid w:val="00113D92"/>
    <w:rsid w:val="00120180"/>
    <w:rsid w:val="0014131B"/>
    <w:rsid w:val="00141FE9"/>
    <w:rsid w:val="0015342E"/>
    <w:rsid w:val="00155AD2"/>
    <w:rsid w:val="00167606"/>
    <w:rsid w:val="001836FA"/>
    <w:rsid w:val="0018419E"/>
    <w:rsid w:val="0018697C"/>
    <w:rsid w:val="00187023"/>
    <w:rsid w:val="00193561"/>
    <w:rsid w:val="001A1959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A3BF2"/>
    <w:rsid w:val="002C7675"/>
    <w:rsid w:val="00305A60"/>
    <w:rsid w:val="00306550"/>
    <w:rsid w:val="00312C04"/>
    <w:rsid w:val="00334CEB"/>
    <w:rsid w:val="003560D2"/>
    <w:rsid w:val="00363C8F"/>
    <w:rsid w:val="0037468A"/>
    <w:rsid w:val="00376D2C"/>
    <w:rsid w:val="00393065"/>
    <w:rsid w:val="003A1FF5"/>
    <w:rsid w:val="003C6493"/>
    <w:rsid w:val="003E2F8E"/>
    <w:rsid w:val="003F0573"/>
    <w:rsid w:val="003F55A7"/>
    <w:rsid w:val="003F6E7E"/>
    <w:rsid w:val="00410D2C"/>
    <w:rsid w:val="00420894"/>
    <w:rsid w:val="00450C97"/>
    <w:rsid w:val="004833B1"/>
    <w:rsid w:val="00486FF9"/>
    <w:rsid w:val="0049187D"/>
    <w:rsid w:val="00491C5D"/>
    <w:rsid w:val="004A227C"/>
    <w:rsid w:val="004C323F"/>
    <w:rsid w:val="004C37FF"/>
    <w:rsid w:val="004F160B"/>
    <w:rsid w:val="004F709E"/>
    <w:rsid w:val="005034C0"/>
    <w:rsid w:val="00505259"/>
    <w:rsid w:val="00511EFF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5D2D5E"/>
    <w:rsid w:val="00625028"/>
    <w:rsid w:val="00627F7D"/>
    <w:rsid w:val="006305A8"/>
    <w:rsid w:val="006612DC"/>
    <w:rsid w:val="006625E9"/>
    <w:rsid w:val="00672D41"/>
    <w:rsid w:val="00683415"/>
    <w:rsid w:val="00695EC1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1745"/>
    <w:rsid w:val="00774A49"/>
    <w:rsid w:val="007919B6"/>
    <w:rsid w:val="007A1772"/>
    <w:rsid w:val="007C0813"/>
    <w:rsid w:val="007D3105"/>
    <w:rsid w:val="007E2F28"/>
    <w:rsid w:val="008348C5"/>
    <w:rsid w:val="00854543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2312B"/>
    <w:rsid w:val="00A55035"/>
    <w:rsid w:val="00A758E6"/>
    <w:rsid w:val="00A94FC4"/>
    <w:rsid w:val="00A97CB0"/>
    <w:rsid w:val="00AB0BF8"/>
    <w:rsid w:val="00AC297F"/>
    <w:rsid w:val="00AC4AFE"/>
    <w:rsid w:val="00AD3CDD"/>
    <w:rsid w:val="00AD6D3C"/>
    <w:rsid w:val="00AE142B"/>
    <w:rsid w:val="00AF18A0"/>
    <w:rsid w:val="00AF7C63"/>
    <w:rsid w:val="00B00CDB"/>
    <w:rsid w:val="00B25D4D"/>
    <w:rsid w:val="00B31401"/>
    <w:rsid w:val="00B377EC"/>
    <w:rsid w:val="00B45112"/>
    <w:rsid w:val="00B5585D"/>
    <w:rsid w:val="00B71405"/>
    <w:rsid w:val="00B75DC9"/>
    <w:rsid w:val="00B938F1"/>
    <w:rsid w:val="00B94321"/>
    <w:rsid w:val="00B95FCB"/>
    <w:rsid w:val="00B96080"/>
    <w:rsid w:val="00BA00BE"/>
    <w:rsid w:val="00BA7096"/>
    <w:rsid w:val="00BB1825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455D3"/>
    <w:rsid w:val="00D507B4"/>
    <w:rsid w:val="00D65CBB"/>
    <w:rsid w:val="00D67B56"/>
    <w:rsid w:val="00D80870"/>
    <w:rsid w:val="00D851F6"/>
    <w:rsid w:val="00DD44E5"/>
    <w:rsid w:val="00DE3216"/>
    <w:rsid w:val="00E04B24"/>
    <w:rsid w:val="00E07ED9"/>
    <w:rsid w:val="00E25473"/>
    <w:rsid w:val="00E411D1"/>
    <w:rsid w:val="00E43BB4"/>
    <w:rsid w:val="00E5095B"/>
    <w:rsid w:val="00E5644E"/>
    <w:rsid w:val="00E57E61"/>
    <w:rsid w:val="00E60509"/>
    <w:rsid w:val="00E8007A"/>
    <w:rsid w:val="00E864D0"/>
    <w:rsid w:val="00EA1E33"/>
    <w:rsid w:val="00EB489A"/>
    <w:rsid w:val="00EB515D"/>
    <w:rsid w:val="00EB62FE"/>
    <w:rsid w:val="00F23F2F"/>
    <w:rsid w:val="00F31351"/>
    <w:rsid w:val="00F31B06"/>
    <w:rsid w:val="00F402D1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A2312B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D80870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A2312B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D80870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1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610219D-24C5-41F9-A0E7-26ADAA3EF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2015-07-15T20:10:00Z</cp:lastPrinted>
  <dcterms:created xsi:type="dcterms:W3CDTF">2018-04-03T16:52:00Z</dcterms:created>
  <dcterms:modified xsi:type="dcterms:W3CDTF">2018-04-03T16:53:00Z</dcterms:modified>
</cp:coreProperties>
</file>