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82A53A" w14:textId="77777777" w:rsidR="00C75A17" w:rsidRPr="00D65CBB" w:rsidRDefault="00112ED6" w:rsidP="002A47ED">
      <w:pPr>
        <w:tabs>
          <w:tab w:val="left" w:pos="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Out of Equilibrium Effects in a Quantum Magnet</w:t>
      </w:r>
    </w:p>
    <w:p w14:paraId="24099EAE" w14:textId="77777777" w:rsidR="003E2F8E" w:rsidRPr="006B3824" w:rsidRDefault="003E2F8E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20192F63" w14:textId="50F29A90" w:rsidR="00A94FC4" w:rsidRPr="006B3824" w:rsidRDefault="00112ED6" w:rsidP="00112ED6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Reeder</w:t>
      </w:r>
      <w:r w:rsidR="002C0011">
        <w:rPr>
          <w:rFonts w:ascii="Arial" w:hAnsi="Arial" w:cs="Arial"/>
          <w:sz w:val="20"/>
          <w:szCs w:val="20"/>
        </w:rPr>
        <w:t>, T.</w:t>
      </w:r>
      <w:r w:rsidR="002C0011">
        <w:rPr>
          <w:rFonts w:ascii="Arial" w:hAnsi="Arial" w:cs="Arial"/>
          <w:sz w:val="20"/>
          <w:szCs w:val="20"/>
        </w:rPr>
        <w:t xml:space="preserve">R. </w:t>
      </w:r>
      <w:r>
        <w:rPr>
          <w:rFonts w:ascii="Arial" w:hAnsi="Arial" w:cs="Arial"/>
          <w:sz w:val="20"/>
          <w:szCs w:val="20"/>
        </w:rPr>
        <w:t>(Colorado State U</w:t>
      </w:r>
      <w:r w:rsidR="00226232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)</w:t>
      </w:r>
      <w:r w:rsidR="002C0011">
        <w:rPr>
          <w:rFonts w:ascii="Arial" w:hAnsi="Arial" w:cs="Arial"/>
          <w:sz w:val="20"/>
          <w:szCs w:val="20"/>
        </w:rPr>
        <w:t xml:space="preserve">; </w:t>
      </w:r>
      <w:r w:rsidR="00226232">
        <w:rPr>
          <w:rFonts w:ascii="Arial" w:hAnsi="Arial" w:cs="Arial"/>
          <w:sz w:val="20"/>
          <w:szCs w:val="20"/>
        </w:rPr>
        <w:t>Zhou</w:t>
      </w:r>
      <w:r w:rsidR="002C0011">
        <w:rPr>
          <w:rFonts w:ascii="Arial" w:hAnsi="Arial" w:cs="Arial"/>
          <w:sz w:val="20"/>
          <w:szCs w:val="20"/>
        </w:rPr>
        <w:t>, H.</w:t>
      </w:r>
      <w:r w:rsidR="00226232">
        <w:rPr>
          <w:rFonts w:ascii="Arial" w:hAnsi="Arial" w:cs="Arial"/>
          <w:sz w:val="20"/>
          <w:szCs w:val="20"/>
        </w:rPr>
        <w:t xml:space="preserve"> (U.</w:t>
      </w:r>
      <w:r w:rsidR="004C7EAF">
        <w:rPr>
          <w:rFonts w:ascii="Arial" w:hAnsi="Arial" w:cs="Arial"/>
          <w:sz w:val="20"/>
          <w:szCs w:val="20"/>
        </w:rPr>
        <w:t xml:space="preserve"> of Tennessee)</w:t>
      </w:r>
      <w:r w:rsidR="000A0256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and</w:t>
      </w:r>
      <w:r w:rsidR="002C001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u w:val="single"/>
        </w:rPr>
        <w:t>Ross</w:t>
      </w:r>
      <w:r w:rsidR="002C0011">
        <w:rPr>
          <w:rFonts w:ascii="Arial" w:hAnsi="Arial" w:cs="Arial"/>
          <w:sz w:val="20"/>
          <w:szCs w:val="20"/>
          <w:u w:val="single"/>
        </w:rPr>
        <w:t>, K.A.</w:t>
      </w:r>
      <w:bookmarkStart w:id="0" w:name="_GoBack"/>
      <w:bookmarkEnd w:id="0"/>
      <w:r w:rsidRPr="00112ED6">
        <w:rPr>
          <w:rFonts w:ascii="Arial" w:hAnsi="Arial" w:cs="Arial"/>
          <w:sz w:val="20"/>
          <w:szCs w:val="20"/>
        </w:rPr>
        <w:t xml:space="preserve"> (Colorado State U</w:t>
      </w:r>
      <w:r w:rsidR="00226232">
        <w:rPr>
          <w:rFonts w:ascii="Arial" w:hAnsi="Arial" w:cs="Arial"/>
          <w:sz w:val="20"/>
          <w:szCs w:val="20"/>
        </w:rPr>
        <w:t>.</w:t>
      </w:r>
      <w:r w:rsidRPr="00112ED6">
        <w:rPr>
          <w:rFonts w:ascii="Arial" w:hAnsi="Arial" w:cs="Arial"/>
          <w:sz w:val="20"/>
          <w:szCs w:val="20"/>
        </w:rPr>
        <w:t>)</w:t>
      </w:r>
      <w:r w:rsidR="005452B9" w:rsidRPr="006B3824">
        <w:rPr>
          <w:rFonts w:ascii="Arial" w:hAnsi="Arial" w:cs="Arial"/>
          <w:sz w:val="20"/>
          <w:szCs w:val="20"/>
        </w:rPr>
        <w:t xml:space="preserve"> </w:t>
      </w:r>
    </w:p>
    <w:p w14:paraId="013BA8F5" w14:textId="77777777" w:rsidR="00A94FC4" w:rsidRPr="006B3824" w:rsidRDefault="00A94FC4" w:rsidP="0049187D">
      <w:pPr>
        <w:pBdr>
          <w:bottom w:val="single" w:sz="12" w:space="1" w:color="auto"/>
        </w:pBd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68CD771F" w14:textId="77777777" w:rsidR="00A94FC4" w:rsidRPr="006B3824" w:rsidRDefault="00A94FC4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2D5FE257" w14:textId="77777777" w:rsidR="00A94FC4" w:rsidRPr="002426D5" w:rsidRDefault="00A94FC4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Introduction</w:t>
      </w:r>
      <w:r w:rsidR="002426D5">
        <w:rPr>
          <w:rFonts w:ascii="Arial" w:hAnsi="Arial" w:cs="Arial"/>
          <w:b/>
          <w:sz w:val="20"/>
          <w:szCs w:val="20"/>
        </w:rPr>
        <w:t xml:space="preserve"> </w:t>
      </w:r>
    </w:p>
    <w:p w14:paraId="5134C8C9" w14:textId="31E30CC6" w:rsidR="00B75DC9" w:rsidRDefault="006B3824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 w:rsidRPr="006B3824">
        <w:rPr>
          <w:rFonts w:ascii="Arial" w:hAnsi="Arial" w:cs="Arial"/>
          <w:sz w:val="20"/>
          <w:szCs w:val="20"/>
        </w:rPr>
        <w:tab/>
      </w:r>
      <w:r w:rsidR="00112ED6">
        <w:rPr>
          <w:rFonts w:ascii="Arial" w:hAnsi="Arial" w:cs="Arial"/>
          <w:sz w:val="20"/>
          <w:szCs w:val="20"/>
        </w:rPr>
        <w:t>We studied the ac magnetic susceptibility of CoNb</w:t>
      </w:r>
      <w:r w:rsidR="00112ED6" w:rsidRPr="00447224">
        <w:rPr>
          <w:rFonts w:ascii="Arial" w:hAnsi="Arial" w:cs="Arial"/>
          <w:sz w:val="20"/>
          <w:szCs w:val="20"/>
          <w:vertAlign w:val="subscript"/>
        </w:rPr>
        <w:t>2</w:t>
      </w:r>
      <w:r w:rsidR="00112ED6">
        <w:rPr>
          <w:rFonts w:ascii="Arial" w:hAnsi="Arial" w:cs="Arial"/>
          <w:sz w:val="20"/>
          <w:szCs w:val="20"/>
        </w:rPr>
        <w:t>O</w:t>
      </w:r>
      <w:r w:rsidR="00112ED6" w:rsidRPr="00447224">
        <w:rPr>
          <w:rFonts w:ascii="Arial" w:hAnsi="Arial" w:cs="Arial"/>
          <w:sz w:val="20"/>
          <w:szCs w:val="20"/>
          <w:vertAlign w:val="subscript"/>
        </w:rPr>
        <w:t>6</w:t>
      </w:r>
      <w:r w:rsidR="00112ED6">
        <w:rPr>
          <w:rFonts w:ascii="Arial" w:hAnsi="Arial" w:cs="Arial"/>
          <w:sz w:val="20"/>
          <w:szCs w:val="20"/>
        </w:rPr>
        <w:t xml:space="preserve"> under an applied dc field.  This material is an example of the “transverse field Ising model”, </w:t>
      </w:r>
      <w:r w:rsidR="00226232">
        <w:rPr>
          <w:rFonts w:ascii="Arial" w:hAnsi="Arial" w:cs="Arial"/>
          <w:sz w:val="20"/>
          <w:szCs w:val="20"/>
        </w:rPr>
        <w:t xml:space="preserve">hosting </w:t>
      </w:r>
      <w:r w:rsidR="00112ED6">
        <w:rPr>
          <w:rFonts w:ascii="Arial" w:hAnsi="Arial" w:cs="Arial"/>
          <w:sz w:val="20"/>
          <w:szCs w:val="20"/>
        </w:rPr>
        <w:t>a field-tuned quantum critical point</w:t>
      </w:r>
      <w:r w:rsidR="00226232">
        <w:rPr>
          <w:rFonts w:ascii="Arial" w:hAnsi="Arial" w:cs="Arial"/>
          <w:sz w:val="20"/>
          <w:szCs w:val="20"/>
        </w:rPr>
        <w:t xml:space="preserve"> (QCP)</w:t>
      </w:r>
      <w:r w:rsidR="00112ED6">
        <w:rPr>
          <w:rFonts w:ascii="Arial" w:hAnsi="Arial" w:cs="Arial"/>
          <w:sz w:val="20"/>
          <w:szCs w:val="20"/>
        </w:rPr>
        <w:t xml:space="preserve"> at 5.5 T between an ordered antiferromagnetic state and a polarized paramagnet</w:t>
      </w:r>
      <w:r w:rsidR="00226232">
        <w:rPr>
          <w:rFonts w:ascii="Arial" w:hAnsi="Arial" w:cs="Arial"/>
          <w:sz w:val="20"/>
          <w:szCs w:val="20"/>
        </w:rPr>
        <w:t xml:space="preserve"> [</w:t>
      </w:r>
      <w:r w:rsidR="00AB40BE">
        <w:rPr>
          <w:rFonts w:ascii="Arial" w:hAnsi="Arial" w:cs="Arial"/>
          <w:sz w:val="20"/>
          <w:szCs w:val="20"/>
        </w:rPr>
        <w:t>1</w:t>
      </w:r>
      <w:r w:rsidR="00226232">
        <w:rPr>
          <w:rFonts w:ascii="Arial" w:hAnsi="Arial" w:cs="Arial"/>
          <w:sz w:val="20"/>
          <w:szCs w:val="20"/>
        </w:rPr>
        <w:t>]</w:t>
      </w:r>
      <w:r w:rsidR="00112ED6">
        <w:rPr>
          <w:rFonts w:ascii="Arial" w:hAnsi="Arial" w:cs="Arial"/>
          <w:sz w:val="20"/>
          <w:szCs w:val="20"/>
        </w:rPr>
        <w:t xml:space="preserve">. We aimed to measure the effect of varying the quench rate across the QCP (i.e., varying dB/dt) on the generation of </w:t>
      </w:r>
      <w:r w:rsidR="00996F0E">
        <w:rPr>
          <w:rFonts w:ascii="Arial" w:hAnsi="Arial" w:cs="Arial"/>
          <w:sz w:val="20"/>
          <w:szCs w:val="20"/>
        </w:rPr>
        <w:t xml:space="preserve">topological </w:t>
      </w:r>
      <w:r w:rsidR="00112ED6">
        <w:rPr>
          <w:rFonts w:ascii="Arial" w:hAnsi="Arial" w:cs="Arial"/>
          <w:sz w:val="20"/>
          <w:szCs w:val="20"/>
        </w:rPr>
        <w:t>defects in the ordered state of CoNb</w:t>
      </w:r>
      <w:r w:rsidR="00112ED6" w:rsidRPr="00447224">
        <w:rPr>
          <w:rFonts w:ascii="Arial" w:hAnsi="Arial" w:cs="Arial"/>
          <w:sz w:val="20"/>
          <w:szCs w:val="20"/>
          <w:vertAlign w:val="subscript"/>
        </w:rPr>
        <w:t>2</w:t>
      </w:r>
      <w:r w:rsidR="00112ED6">
        <w:rPr>
          <w:rFonts w:ascii="Arial" w:hAnsi="Arial" w:cs="Arial"/>
          <w:sz w:val="20"/>
          <w:szCs w:val="20"/>
        </w:rPr>
        <w:t>O</w:t>
      </w:r>
      <w:r w:rsidR="00112ED6" w:rsidRPr="00447224">
        <w:rPr>
          <w:rFonts w:ascii="Arial" w:hAnsi="Arial" w:cs="Arial"/>
          <w:sz w:val="20"/>
          <w:szCs w:val="20"/>
          <w:vertAlign w:val="subscript"/>
        </w:rPr>
        <w:t>6</w:t>
      </w:r>
      <w:r w:rsidR="00112ED6">
        <w:rPr>
          <w:rFonts w:ascii="Arial" w:hAnsi="Arial" w:cs="Arial"/>
          <w:sz w:val="20"/>
          <w:szCs w:val="20"/>
        </w:rPr>
        <w:t xml:space="preserve">.  </w:t>
      </w:r>
      <w:r w:rsidR="00996F0E">
        <w:rPr>
          <w:rFonts w:ascii="Arial" w:hAnsi="Arial" w:cs="Arial"/>
          <w:sz w:val="20"/>
          <w:szCs w:val="20"/>
        </w:rPr>
        <w:t>The</w:t>
      </w:r>
      <w:r w:rsidR="008F1DDE" w:rsidRPr="008F1DDE">
        <w:rPr>
          <w:rFonts w:ascii="Arial" w:hAnsi="Arial" w:cs="Arial"/>
          <w:sz w:val="20"/>
          <w:szCs w:val="20"/>
        </w:rPr>
        <w:t xml:space="preserve"> </w:t>
      </w:r>
      <w:r w:rsidR="008F1DDE">
        <w:rPr>
          <w:rFonts w:ascii="Arial" w:hAnsi="Arial" w:cs="Arial"/>
          <w:sz w:val="20"/>
          <w:szCs w:val="20"/>
        </w:rPr>
        <w:t>c-axis</w:t>
      </w:r>
      <w:r w:rsidR="00996F0E">
        <w:rPr>
          <w:rFonts w:ascii="Arial" w:hAnsi="Arial" w:cs="Arial"/>
          <w:sz w:val="20"/>
          <w:szCs w:val="20"/>
        </w:rPr>
        <w:t xml:space="preserve"> ac susceptibility has previously been suggested </w:t>
      </w:r>
      <w:r w:rsidR="008F1DDE">
        <w:rPr>
          <w:rFonts w:ascii="Arial" w:hAnsi="Arial" w:cs="Arial"/>
          <w:sz w:val="20"/>
          <w:szCs w:val="20"/>
        </w:rPr>
        <w:t xml:space="preserve">as measure of </w:t>
      </w:r>
      <w:r w:rsidR="00996F0E">
        <w:rPr>
          <w:rFonts w:ascii="Arial" w:hAnsi="Arial" w:cs="Arial"/>
          <w:sz w:val="20"/>
          <w:szCs w:val="20"/>
        </w:rPr>
        <w:t>the domain wall density [</w:t>
      </w:r>
      <w:r w:rsidR="008B6ABD" w:rsidRPr="008B6ABD">
        <w:rPr>
          <w:rFonts w:ascii="Arial" w:hAnsi="Arial" w:cs="Arial"/>
          <w:sz w:val="20"/>
          <w:szCs w:val="20"/>
        </w:rPr>
        <w:t>2]</w:t>
      </w:r>
      <w:r w:rsidR="00996F0E">
        <w:rPr>
          <w:rFonts w:ascii="Arial" w:hAnsi="Arial" w:cs="Arial"/>
          <w:sz w:val="20"/>
          <w:szCs w:val="20"/>
        </w:rPr>
        <w:t xml:space="preserve">. We used </w:t>
      </w:r>
      <w:r w:rsidR="008F1DDE">
        <w:rPr>
          <w:rFonts w:ascii="Arial" w:hAnsi="Arial" w:cs="Arial"/>
          <w:sz w:val="20"/>
          <w:szCs w:val="20"/>
        </w:rPr>
        <w:t>a</w:t>
      </w:r>
      <w:r w:rsidR="00112ED6">
        <w:rPr>
          <w:rFonts w:ascii="Arial" w:hAnsi="Arial" w:cs="Arial"/>
          <w:sz w:val="20"/>
          <w:szCs w:val="20"/>
        </w:rPr>
        <w:t xml:space="preserve"> 35T magnet </w:t>
      </w:r>
      <w:r w:rsidR="00996F0E">
        <w:rPr>
          <w:rFonts w:ascii="Arial" w:hAnsi="Arial" w:cs="Arial"/>
          <w:sz w:val="20"/>
          <w:szCs w:val="20"/>
        </w:rPr>
        <w:t xml:space="preserve">to achieve a wide range of quench rates </w:t>
      </w:r>
      <w:r w:rsidR="008F1DDE">
        <w:rPr>
          <w:rFonts w:ascii="Arial" w:hAnsi="Arial" w:cs="Arial"/>
          <w:sz w:val="20"/>
          <w:szCs w:val="20"/>
        </w:rPr>
        <w:t>which are</w:t>
      </w:r>
      <w:r w:rsidR="00B62246">
        <w:rPr>
          <w:rFonts w:ascii="Arial" w:hAnsi="Arial" w:cs="Arial"/>
          <w:sz w:val="20"/>
          <w:szCs w:val="20"/>
        </w:rPr>
        <w:t xml:space="preserve"> </w:t>
      </w:r>
      <w:r w:rsidR="00996F0E">
        <w:rPr>
          <w:rFonts w:ascii="Arial" w:hAnsi="Arial" w:cs="Arial"/>
          <w:sz w:val="20"/>
          <w:szCs w:val="20"/>
        </w:rPr>
        <w:t>not possib</w:t>
      </w:r>
      <w:r w:rsidR="00B62246">
        <w:rPr>
          <w:rFonts w:ascii="Arial" w:hAnsi="Arial" w:cs="Arial"/>
          <w:sz w:val="20"/>
          <w:szCs w:val="20"/>
        </w:rPr>
        <w:t>le with conventional superconducting magnets</w:t>
      </w:r>
      <w:r w:rsidR="008B6ABD">
        <w:rPr>
          <w:rFonts w:ascii="Arial" w:hAnsi="Arial" w:cs="Arial"/>
          <w:sz w:val="20"/>
          <w:szCs w:val="20"/>
        </w:rPr>
        <w:t xml:space="preserve">. </w:t>
      </w:r>
      <w:r w:rsidR="00B62246">
        <w:rPr>
          <w:rFonts w:ascii="Arial" w:hAnsi="Arial" w:cs="Arial"/>
          <w:sz w:val="20"/>
          <w:szCs w:val="20"/>
        </w:rPr>
        <w:t xml:space="preserve">The </w:t>
      </w:r>
      <w:r w:rsidR="0066218B">
        <w:rPr>
          <w:rFonts w:ascii="Arial" w:hAnsi="Arial" w:cs="Arial"/>
          <w:sz w:val="20"/>
          <w:szCs w:val="20"/>
        </w:rPr>
        <w:t>experiment</w:t>
      </w:r>
      <w:r w:rsidR="00B62246">
        <w:rPr>
          <w:rFonts w:ascii="Arial" w:hAnsi="Arial" w:cs="Arial"/>
          <w:sz w:val="20"/>
          <w:szCs w:val="20"/>
        </w:rPr>
        <w:t xml:space="preserve"> did not </w:t>
      </w:r>
      <w:r w:rsidR="00956687">
        <w:rPr>
          <w:rFonts w:ascii="Arial" w:hAnsi="Arial" w:cs="Arial"/>
          <w:sz w:val="20"/>
          <w:szCs w:val="20"/>
        </w:rPr>
        <w:t>y</w:t>
      </w:r>
      <w:r w:rsidR="0066218B">
        <w:rPr>
          <w:rFonts w:ascii="Arial" w:hAnsi="Arial" w:cs="Arial"/>
          <w:sz w:val="20"/>
          <w:szCs w:val="20"/>
        </w:rPr>
        <w:t>i</w:t>
      </w:r>
      <w:r w:rsidR="00956687">
        <w:rPr>
          <w:rFonts w:ascii="Arial" w:hAnsi="Arial" w:cs="Arial"/>
          <w:sz w:val="20"/>
          <w:szCs w:val="20"/>
        </w:rPr>
        <w:t>e</w:t>
      </w:r>
      <w:r w:rsidR="0066218B">
        <w:rPr>
          <w:rFonts w:ascii="Arial" w:hAnsi="Arial" w:cs="Arial"/>
          <w:sz w:val="20"/>
          <w:szCs w:val="20"/>
        </w:rPr>
        <w:t>ld</w:t>
      </w:r>
      <w:r w:rsidR="00B62246">
        <w:rPr>
          <w:rFonts w:ascii="Arial" w:hAnsi="Arial" w:cs="Arial"/>
          <w:sz w:val="20"/>
          <w:szCs w:val="20"/>
        </w:rPr>
        <w:t xml:space="preserve"> the expected results</w:t>
      </w:r>
      <w:r w:rsidR="0066218B">
        <w:rPr>
          <w:rFonts w:ascii="Arial" w:hAnsi="Arial" w:cs="Arial"/>
          <w:sz w:val="20"/>
          <w:szCs w:val="20"/>
        </w:rPr>
        <w:t xml:space="preserve"> (power law scaling of defect density with quench rate)</w:t>
      </w:r>
      <w:r w:rsidR="00B62246">
        <w:rPr>
          <w:rFonts w:ascii="Arial" w:hAnsi="Arial" w:cs="Arial"/>
          <w:sz w:val="20"/>
          <w:szCs w:val="20"/>
        </w:rPr>
        <w:t>, but</w:t>
      </w:r>
      <w:r w:rsidR="0066218B">
        <w:rPr>
          <w:rFonts w:ascii="Arial" w:hAnsi="Arial" w:cs="Arial"/>
          <w:sz w:val="20"/>
          <w:szCs w:val="20"/>
        </w:rPr>
        <w:t xml:space="preserve"> instead</w:t>
      </w:r>
      <w:r w:rsidR="00B62246">
        <w:rPr>
          <w:rFonts w:ascii="Arial" w:hAnsi="Arial" w:cs="Arial"/>
          <w:sz w:val="20"/>
          <w:szCs w:val="20"/>
        </w:rPr>
        <w:t xml:space="preserve"> revealed other intriguing phenomena which we believe </w:t>
      </w:r>
      <w:r w:rsidR="0066218B">
        <w:rPr>
          <w:rFonts w:ascii="Arial" w:hAnsi="Arial" w:cs="Arial"/>
          <w:sz w:val="20"/>
          <w:szCs w:val="20"/>
        </w:rPr>
        <w:t>are</w:t>
      </w:r>
      <w:r w:rsidR="00B62246">
        <w:rPr>
          <w:rFonts w:ascii="Arial" w:hAnsi="Arial" w:cs="Arial"/>
          <w:sz w:val="20"/>
          <w:szCs w:val="20"/>
        </w:rPr>
        <w:t xml:space="preserve"> related to the “critical quench rates” of glass formation</w:t>
      </w:r>
      <w:r w:rsidR="004C7EAF">
        <w:rPr>
          <w:rFonts w:ascii="Arial" w:hAnsi="Arial" w:cs="Arial"/>
          <w:sz w:val="20"/>
          <w:szCs w:val="20"/>
        </w:rPr>
        <w:t xml:space="preserve">, </w:t>
      </w:r>
      <w:r w:rsidR="0066218B">
        <w:rPr>
          <w:rFonts w:ascii="Arial" w:hAnsi="Arial" w:cs="Arial"/>
          <w:sz w:val="20"/>
          <w:szCs w:val="20"/>
        </w:rPr>
        <w:t xml:space="preserve">where the </w:t>
      </w:r>
      <w:r w:rsidR="004C7EAF">
        <w:rPr>
          <w:rFonts w:ascii="Arial" w:hAnsi="Arial" w:cs="Arial"/>
          <w:sz w:val="20"/>
          <w:szCs w:val="20"/>
        </w:rPr>
        <w:t xml:space="preserve">fluctuations controlling the crystallization vs. glass formation are </w:t>
      </w:r>
      <w:r w:rsidR="0066218B" w:rsidRPr="004C7EAF">
        <w:rPr>
          <w:rFonts w:ascii="Arial" w:hAnsi="Arial" w:cs="Arial"/>
          <w:i/>
          <w:sz w:val="20"/>
          <w:szCs w:val="20"/>
        </w:rPr>
        <w:t>quantum</w:t>
      </w:r>
      <w:r w:rsidR="0066218B">
        <w:rPr>
          <w:rFonts w:ascii="Arial" w:hAnsi="Arial" w:cs="Arial"/>
          <w:sz w:val="20"/>
          <w:szCs w:val="20"/>
        </w:rPr>
        <w:t xml:space="preserve"> </w:t>
      </w:r>
      <w:r w:rsidR="004C7EAF">
        <w:rPr>
          <w:rFonts w:ascii="Arial" w:hAnsi="Arial" w:cs="Arial"/>
          <w:sz w:val="20"/>
          <w:szCs w:val="20"/>
        </w:rPr>
        <w:t>rather than thermal</w:t>
      </w:r>
      <w:r w:rsidR="00B62246">
        <w:rPr>
          <w:rFonts w:ascii="Arial" w:hAnsi="Arial" w:cs="Arial"/>
          <w:sz w:val="20"/>
          <w:szCs w:val="20"/>
        </w:rPr>
        <w:t>.</w:t>
      </w:r>
    </w:p>
    <w:p w14:paraId="1654B364" w14:textId="77777777" w:rsidR="00AB40BE" w:rsidRPr="00AB40BE" w:rsidRDefault="00AB40BE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7107B443" w14:textId="77777777" w:rsidR="002524EE" w:rsidRPr="006B3824" w:rsidRDefault="002524EE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Experimental</w:t>
      </w:r>
      <w:r w:rsidR="00734E94">
        <w:rPr>
          <w:rFonts w:ascii="Arial" w:hAnsi="Arial" w:cs="Arial"/>
          <w:b/>
          <w:sz w:val="20"/>
          <w:szCs w:val="20"/>
        </w:rPr>
        <w:t xml:space="preserve"> </w:t>
      </w:r>
    </w:p>
    <w:p w14:paraId="4F9B6819" w14:textId="2CDA1664" w:rsidR="00FB4399" w:rsidRDefault="006B3824" w:rsidP="00FB4399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B62246">
        <w:rPr>
          <w:rFonts w:ascii="Arial" w:hAnsi="Arial" w:cs="Arial"/>
          <w:sz w:val="20"/>
          <w:szCs w:val="20"/>
        </w:rPr>
        <w:t xml:space="preserve">We grew </w:t>
      </w:r>
      <w:r w:rsidR="004C7EAF">
        <w:rPr>
          <w:rFonts w:ascii="Arial" w:hAnsi="Arial" w:cs="Arial"/>
          <w:sz w:val="20"/>
          <w:szCs w:val="20"/>
        </w:rPr>
        <w:t>a single crystal</w:t>
      </w:r>
      <w:r w:rsidR="00B62246">
        <w:rPr>
          <w:rFonts w:ascii="Arial" w:hAnsi="Arial" w:cs="Arial"/>
          <w:sz w:val="20"/>
          <w:szCs w:val="20"/>
        </w:rPr>
        <w:t xml:space="preserve"> of CoNb</w:t>
      </w:r>
      <w:r w:rsidR="00B62246" w:rsidRPr="00447224">
        <w:rPr>
          <w:rFonts w:ascii="Arial" w:hAnsi="Arial" w:cs="Arial"/>
          <w:sz w:val="20"/>
          <w:szCs w:val="20"/>
          <w:vertAlign w:val="subscript"/>
        </w:rPr>
        <w:t>2</w:t>
      </w:r>
      <w:r w:rsidR="00B62246">
        <w:rPr>
          <w:rFonts w:ascii="Arial" w:hAnsi="Arial" w:cs="Arial"/>
          <w:sz w:val="20"/>
          <w:szCs w:val="20"/>
        </w:rPr>
        <w:t>O</w:t>
      </w:r>
      <w:r w:rsidR="00B62246" w:rsidRPr="00447224">
        <w:rPr>
          <w:rFonts w:ascii="Arial" w:hAnsi="Arial" w:cs="Arial"/>
          <w:sz w:val="20"/>
          <w:szCs w:val="20"/>
          <w:vertAlign w:val="subscript"/>
        </w:rPr>
        <w:t>6</w:t>
      </w:r>
      <w:r w:rsidR="00B62246">
        <w:rPr>
          <w:rFonts w:ascii="Arial" w:hAnsi="Arial" w:cs="Arial"/>
          <w:sz w:val="20"/>
          <w:szCs w:val="20"/>
        </w:rPr>
        <w:t xml:space="preserve"> via optical floating zone method.   The crystal was mounted in an ac coil</w:t>
      </w:r>
      <w:r w:rsidR="00085CB6">
        <w:rPr>
          <w:rFonts w:ascii="Arial" w:hAnsi="Arial" w:cs="Arial"/>
          <w:sz w:val="20"/>
          <w:szCs w:val="20"/>
        </w:rPr>
        <w:t>-</w:t>
      </w:r>
      <w:r w:rsidR="00B62246">
        <w:rPr>
          <w:rFonts w:ascii="Arial" w:hAnsi="Arial" w:cs="Arial"/>
          <w:sz w:val="20"/>
          <w:szCs w:val="20"/>
        </w:rPr>
        <w:t>set on a 90 degree rotation stage</w:t>
      </w:r>
      <w:r w:rsidR="004C7EAF">
        <w:rPr>
          <w:rFonts w:ascii="Arial" w:hAnsi="Arial" w:cs="Arial"/>
          <w:sz w:val="20"/>
          <w:szCs w:val="20"/>
        </w:rPr>
        <w:t xml:space="preserve">, allowing </w:t>
      </w:r>
      <w:r w:rsidR="00B62246">
        <w:rPr>
          <w:rFonts w:ascii="Arial" w:hAnsi="Arial" w:cs="Arial"/>
          <w:sz w:val="20"/>
          <w:szCs w:val="20"/>
        </w:rPr>
        <w:t>us to apply the dc magnetic field along the crystallographic b axis (transverse to the Ising direction) while measuring the ac susceptibility along the c axis (to probe the domain wall defects</w:t>
      </w:r>
      <w:r w:rsidR="004C7EAF">
        <w:rPr>
          <w:rFonts w:ascii="Arial" w:hAnsi="Arial" w:cs="Arial"/>
          <w:sz w:val="20"/>
          <w:szCs w:val="20"/>
        </w:rPr>
        <w:t>)</w:t>
      </w:r>
      <w:r w:rsidR="00B62246">
        <w:rPr>
          <w:rFonts w:ascii="Arial" w:hAnsi="Arial" w:cs="Arial"/>
          <w:sz w:val="20"/>
          <w:szCs w:val="20"/>
        </w:rPr>
        <w:t xml:space="preserve">. </w:t>
      </w:r>
      <w:r w:rsidR="002524EE" w:rsidRPr="006B3824">
        <w:rPr>
          <w:rFonts w:ascii="Arial" w:hAnsi="Arial" w:cs="Arial"/>
          <w:sz w:val="20"/>
          <w:szCs w:val="20"/>
        </w:rPr>
        <w:t xml:space="preserve"> </w:t>
      </w:r>
      <w:r w:rsidR="004C7EAF">
        <w:rPr>
          <w:rFonts w:ascii="Arial" w:hAnsi="Arial" w:cs="Arial"/>
          <w:sz w:val="20"/>
          <w:szCs w:val="20"/>
        </w:rPr>
        <w:t>The ac coil</w:t>
      </w:r>
      <w:r w:rsidR="00777754">
        <w:rPr>
          <w:rFonts w:ascii="Arial" w:hAnsi="Arial" w:cs="Arial"/>
          <w:sz w:val="20"/>
          <w:szCs w:val="20"/>
        </w:rPr>
        <w:t>-</w:t>
      </w:r>
      <w:r w:rsidR="004C7EAF">
        <w:rPr>
          <w:rFonts w:ascii="Arial" w:hAnsi="Arial" w:cs="Arial"/>
          <w:sz w:val="20"/>
          <w:szCs w:val="20"/>
        </w:rPr>
        <w:t>set was placed at the end of a 3He insert for the 35 T resistive magnet in Cell 9.</w:t>
      </w:r>
    </w:p>
    <w:p w14:paraId="17F5675E" w14:textId="77777777" w:rsidR="002524EE" w:rsidRPr="006B3824" w:rsidRDefault="002524EE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639C9970" w14:textId="5C5101CE" w:rsidR="009C6A34" w:rsidRDefault="002524EE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 xml:space="preserve">Results and </w:t>
      </w:r>
      <w:r w:rsidR="00345D07">
        <w:rPr>
          <w:rFonts w:ascii="Arial" w:hAnsi="Arial" w:cs="Arial"/>
          <w:b/>
          <w:sz w:val="20"/>
          <w:szCs w:val="20"/>
        </w:rPr>
        <w:t>Conclusion</w:t>
      </w:r>
    </w:p>
    <w:p w14:paraId="09B74937" w14:textId="07E4F13A" w:rsidR="009C6A34" w:rsidRPr="009C6A34" w:rsidRDefault="008C07D8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anchor distT="0" distB="0" distL="114300" distR="114300" simplePos="0" relativeHeight="251658752" behindDoc="0" locked="0" layoutInCell="1" allowOverlap="1" wp14:anchorId="06C7F0AB" wp14:editId="1B18D718">
            <wp:simplePos x="0" y="0"/>
            <wp:positionH relativeFrom="column">
              <wp:posOffset>-177800</wp:posOffset>
            </wp:positionH>
            <wp:positionV relativeFrom="paragraph">
              <wp:posOffset>1082675</wp:posOffset>
            </wp:positionV>
            <wp:extent cx="4763135" cy="1637030"/>
            <wp:effectExtent l="0" t="0" r="12065" b="0"/>
            <wp:wrapTight wrapText="bothSides">
              <wp:wrapPolygon edited="0">
                <wp:start x="0" y="0"/>
                <wp:lineTo x="0" y="21114"/>
                <wp:lineTo x="21540" y="21114"/>
                <wp:lineTo x="21540" y="0"/>
                <wp:lineTo x="0" y="0"/>
              </wp:wrapPolygon>
            </wp:wrapTight>
            <wp:docPr id="5" name="Picture 5" descr="Figure%20Maglab%20Report%20Ross%20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%20Maglab%20Report%20Ross%20201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0B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DB86028" wp14:editId="106D6A20">
                <wp:simplePos x="0" y="0"/>
                <wp:positionH relativeFrom="column">
                  <wp:posOffset>-127000</wp:posOffset>
                </wp:positionH>
                <wp:positionV relativeFrom="paragraph">
                  <wp:posOffset>2812415</wp:posOffset>
                </wp:positionV>
                <wp:extent cx="4699000" cy="862965"/>
                <wp:effectExtent l="0" t="0" r="0" b="635"/>
                <wp:wrapTight wrapText="bothSides">
                  <wp:wrapPolygon edited="0">
                    <wp:start x="0" y="0"/>
                    <wp:lineTo x="0" y="20980"/>
                    <wp:lineTo x="21483" y="20980"/>
                    <wp:lineTo x="21483" y="0"/>
                    <wp:lineTo x="0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0" cy="862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5A06C8" w14:textId="4B713DB6" w:rsidR="00376D2C" w:rsidRPr="00376D2C" w:rsidRDefault="00376D2C" w:rsidP="00376D2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D3CD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Fig.1</w:t>
                            </w:r>
                            <w:r w:rsidRPr="00376D2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37D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a) ac susceptibility at </w:t>
                            </w:r>
                            <w:r w:rsidR="00AB40B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</w:t>
                            </w:r>
                            <w:r w:rsidR="00AB40BE" w:rsidRPr="00AB40BE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</w:rPr>
                              <w:t>dc</w:t>
                            </w:r>
                            <w:r w:rsidR="00AB40B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=0</w:t>
                            </w:r>
                            <w:r w:rsidR="00C37D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evincing a freezing transition below T ~ 1.2K.  b) ac response during a dc field sweep from zero (zero field cooled sample) to B</w:t>
                            </w:r>
                            <w:r w:rsidR="00C37DD0" w:rsidRPr="00257823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</w:rPr>
                              <w:t>dc</w:t>
                            </w:r>
                            <w:r w:rsidR="00C37D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&gt; 5.5 T, and back</w:t>
                            </w:r>
                            <w:r w:rsidR="000503B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 Below 0.2T, </w:t>
                            </w:r>
                            <w:r w:rsidR="00AB40B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 irreversibility appears;</w:t>
                            </w:r>
                            <w:r w:rsidR="000503B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the suscepti</w:t>
                            </w:r>
                            <w:r w:rsidR="00AB40B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bility suddenly increases sharply.  The b</w:t>
                            </w:r>
                            <w:r w:rsidR="000503B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lue point </w:t>
                            </w:r>
                            <w:r w:rsidR="002578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indicates</w:t>
                            </w:r>
                            <w:r w:rsidR="000503B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the quantity that is plotted in panel c). c) The height of the jump in susceptibility at </w:t>
                            </w:r>
                            <w:r w:rsidR="00AB40B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</w:t>
                            </w:r>
                            <w:r w:rsidR="00AB40BE" w:rsidRPr="00AB40BE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</w:rPr>
                              <w:t>dc</w:t>
                            </w:r>
                            <w:r w:rsidR="00AB40B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=0 </w:t>
                            </w:r>
                            <w:r w:rsidR="000503B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is strong</w:t>
                            </w:r>
                            <w:r w:rsidR="00AB40B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ly affected by the quench rate.  A</w:t>
                            </w:r>
                            <w:r w:rsidR="000503B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crit</w:t>
                            </w:r>
                            <w:r w:rsidR="00AB40B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ical quench rate of ~1.75 T/min is revealed.</w:t>
                            </w:r>
                            <w:r w:rsidR="008B6AB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Red line is a guide to the eye.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1DB86028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10pt;margin-top:221.45pt;width:370pt;height:67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" stroked="f">
                <v:textbox>
                  <w:txbxContent>
                    <w:p w14:paraId="1D5A06C8" w14:textId="4B713DB6" w:rsidR="00376D2C" w:rsidRPr="00376D2C" w:rsidRDefault="00376D2C" w:rsidP="00376D2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D3CD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Fig.1</w:t>
                      </w:r>
                      <w:r w:rsidRPr="00376D2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C37DD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a) ac susceptibility at </w:t>
                      </w:r>
                      <w:r w:rsidR="00AB40BE">
                        <w:rPr>
                          <w:rFonts w:ascii="Arial" w:hAnsi="Arial" w:cs="Arial"/>
                          <w:sz w:val="18"/>
                          <w:szCs w:val="18"/>
                        </w:rPr>
                        <w:t>B</w:t>
                      </w:r>
                      <w:r w:rsidR="00AB40BE" w:rsidRPr="00AB40BE"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</w:rPr>
                        <w:t>dc</w:t>
                      </w:r>
                      <w:r w:rsidR="00AB40BE">
                        <w:rPr>
                          <w:rFonts w:ascii="Arial" w:hAnsi="Arial" w:cs="Arial"/>
                          <w:sz w:val="18"/>
                          <w:szCs w:val="18"/>
                        </w:rPr>
                        <w:t>=0</w:t>
                      </w:r>
                      <w:r w:rsidR="00C37DD0">
                        <w:rPr>
                          <w:rFonts w:ascii="Arial" w:hAnsi="Arial" w:cs="Arial"/>
                          <w:sz w:val="18"/>
                          <w:szCs w:val="18"/>
                        </w:rPr>
                        <w:t>, evincing a freezing transition below T ~ 1.2K.  b) ac response during a dc field sweep from zero (zero field cooled sample) to B</w:t>
                      </w:r>
                      <w:r w:rsidR="00C37DD0" w:rsidRPr="00257823"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</w:rPr>
                        <w:t>dc</w:t>
                      </w:r>
                      <w:r w:rsidR="00C37DD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&gt; 5.5 T, and back</w:t>
                      </w:r>
                      <w:r w:rsidR="000503B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 Below 0.2T, </w:t>
                      </w:r>
                      <w:r w:rsidR="00AB40BE">
                        <w:rPr>
                          <w:rFonts w:ascii="Arial" w:hAnsi="Arial" w:cs="Arial"/>
                          <w:sz w:val="18"/>
                          <w:szCs w:val="18"/>
                        </w:rPr>
                        <w:t>an irreversibility appears;</w:t>
                      </w:r>
                      <w:r w:rsidR="000503B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the suscepti</w:t>
                      </w:r>
                      <w:r w:rsidR="00AB40BE">
                        <w:rPr>
                          <w:rFonts w:ascii="Arial" w:hAnsi="Arial" w:cs="Arial"/>
                          <w:sz w:val="18"/>
                          <w:szCs w:val="18"/>
                        </w:rPr>
                        <w:t>bility suddenly increases sharply.  The b</w:t>
                      </w:r>
                      <w:r w:rsidR="000503B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lue point </w:t>
                      </w:r>
                      <w:r w:rsidR="00257823">
                        <w:rPr>
                          <w:rFonts w:ascii="Arial" w:hAnsi="Arial" w:cs="Arial"/>
                          <w:sz w:val="18"/>
                          <w:szCs w:val="18"/>
                        </w:rPr>
                        <w:t>indicates</w:t>
                      </w:r>
                      <w:r w:rsidR="000503B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the quantity that is plotted in panel c). c) The height of the jump in susceptibility at </w:t>
                      </w:r>
                      <w:r w:rsidR="00AB40BE">
                        <w:rPr>
                          <w:rFonts w:ascii="Arial" w:hAnsi="Arial" w:cs="Arial"/>
                          <w:sz w:val="18"/>
                          <w:szCs w:val="18"/>
                        </w:rPr>
                        <w:t>B</w:t>
                      </w:r>
                      <w:r w:rsidR="00AB40BE" w:rsidRPr="00AB40BE"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</w:rPr>
                        <w:t>dc</w:t>
                      </w:r>
                      <w:r w:rsidR="00AB40B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=0 </w:t>
                      </w:r>
                      <w:r w:rsidR="000503BC">
                        <w:rPr>
                          <w:rFonts w:ascii="Arial" w:hAnsi="Arial" w:cs="Arial"/>
                          <w:sz w:val="18"/>
                          <w:szCs w:val="18"/>
                        </w:rPr>
                        <w:t>is strong</w:t>
                      </w:r>
                      <w:r w:rsidR="00AB40BE">
                        <w:rPr>
                          <w:rFonts w:ascii="Arial" w:hAnsi="Arial" w:cs="Arial"/>
                          <w:sz w:val="18"/>
                          <w:szCs w:val="18"/>
                        </w:rPr>
                        <w:t>ly affected by the quench rate.  A</w:t>
                      </w:r>
                      <w:r w:rsidR="000503B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crit</w:t>
                      </w:r>
                      <w:r w:rsidR="00AB40BE">
                        <w:rPr>
                          <w:rFonts w:ascii="Arial" w:hAnsi="Arial" w:cs="Arial"/>
                          <w:sz w:val="18"/>
                          <w:szCs w:val="18"/>
                        </w:rPr>
                        <w:t>ical quench rate of ~1.75 T/min is revealed.</w:t>
                      </w:r>
                      <w:r w:rsidR="008B6AB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Red line is a guide to the eye.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C6A34">
        <w:rPr>
          <w:rFonts w:ascii="Arial" w:hAnsi="Arial" w:cs="Arial"/>
          <w:sz w:val="20"/>
          <w:szCs w:val="20"/>
        </w:rPr>
        <w:tab/>
      </w:r>
      <w:r w:rsidR="008F1DDE">
        <w:rPr>
          <w:rFonts w:ascii="Arial" w:hAnsi="Arial" w:cs="Arial"/>
          <w:sz w:val="20"/>
          <w:szCs w:val="20"/>
        </w:rPr>
        <w:t>We</w:t>
      </w:r>
      <w:r w:rsidR="009C6A34">
        <w:rPr>
          <w:rFonts w:ascii="Arial" w:hAnsi="Arial" w:cs="Arial"/>
          <w:sz w:val="20"/>
          <w:szCs w:val="20"/>
        </w:rPr>
        <w:t xml:space="preserve"> definitively identified a freezing transition near 1.2K by measuring the frequency dependence of the ac susceptibility in B</w:t>
      </w:r>
      <w:r w:rsidR="009C6A34" w:rsidRPr="008F1DDE">
        <w:rPr>
          <w:rFonts w:ascii="Arial" w:hAnsi="Arial" w:cs="Arial"/>
          <w:sz w:val="20"/>
          <w:szCs w:val="20"/>
          <w:vertAlign w:val="subscript"/>
        </w:rPr>
        <w:t>dc</w:t>
      </w:r>
      <w:r w:rsidR="009C6A34">
        <w:rPr>
          <w:rFonts w:ascii="Arial" w:hAnsi="Arial" w:cs="Arial"/>
          <w:sz w:val="20"/>
          <w:szCs w:val="20"/>
        </w:rPr>
        <w:t xml:space="preserve"> = 0 (Fig 1 a).  This freezing transition occurs below the ordering transition in CoNb</w:t>
      </w:r>
      <w:r w:rsidR="009C6A34" w:rsidRPr="005E676C">
        <w:rPr>
          <w:rFonts w:ascii="Arial" w:hAnsi="Arial" w:cs="Arial"/>
          <w:sz w:val="20"/>
          <w:szCs w:val="20"/>
          <w:vertAlign w:val="subscript"/>
        </w:rPr>
        <w:t>2</w:t>
      </w:r>
      <w:r w:rsidR="009C6A34">
        <w:rPr>
          <w:rFonts w:ascii="Arial" w:hAnsi="Arial" w:cs="Arial"/>
          <w:sz w:val="20"/>
          <w:szCs w:val="20"/>
        </w:rPr>
        <w:t>O</w:t>
      </w:r>
      <w:r w:rsidR="009C6A34" w:rsidRPr="005E676C">
        <w:rPr>
          <w:rFonts w:ascii="Arial" w:hAnsi="Arial" w:cs="Arial"/>
          <w:sz w:val="20"/>
          <w:szCs w:val="20"/>
          <w:vertAlign w:val="subscript"/>
        </w:rPr>
        <w:t>6</w:t>
      </w:r>
      <w:r w:rsidR="009C6A34">
        <w:rPr>
          <w:rFonts w:ascii="Arial" w:hAnsi="Arial" w:cs="Arial"/>
          <w:sz w:val="20"/>
          <w:szCs w:val="20"/>
        </w:rPr>
        <w:t xml:space="preserve"> and is therefore likely to be related to domain wall dynamics</w:t>
      </w:r>
      <w:r w:rsidR="008F1DDE">
        <w:rPr>
          <w:rFonts w:ascii="Arial" w:hAnsi="Arial" w:cs="Arial"/>
          <w:sz w:val="20"/>
          <w:szCs w:val="20"/>
        </w:rPr>
        <w:t>.</w:t>
      </w:r>
      <w:r w:rsidR="00516E27">
        <w:rPr>
          <w:rFonts w:ascii="Arial" w:hAnsi="Arial" w:cs="Arial"/>
          <w:sz w:val="20"/>
          <w:szCs w:val="20"/>
        </w:rPr>
        <w:t xml:space="preserve"> W</w:t>
      </w:r>
      <w:r w:rsidR="009C6A34">
        <w:rPr>
          <w:rFonts w:ascii="Arial" w:hAnsi="Arial" w:cs="Arial"/>
          <w:sz w:val="20"/>
          <w:szCs w:val="20"/>
        </w:rPr>
        <w:t xml:space="preserve">hen </w:t>
      </w:r>
      <w:r w:rsidR="009C6A34" w:rsidRPr="009C6A34">
        <w:rPr>
          <w:rFonts w:ascii="Arial" w:hAnsi="Arial" w:cs="Arial"/>
          <w:i/>
          <w:sz w:val="20"/>
          <w:szCs w:val="20"/>
        </w:rPr>
        <w:t>field</w:t>
      </w:r>
      <w:r w:rsidR="009C6A34">
        <w:rPr>
          <w:rFonts w:ascii="Arial" w:hAnsi="Arial" w:cs="Arial"/>
          <w:sz w:val="20"/>
          <w:szCs w:val="20"/>
        </w:rPr>
        <w:t xml:space="preserve"> </w:t>
      </w:r>
      <w:r w:rsidR="009C6A34" w:rsidRPr="001B29A7">
        <w:rPr>
          <w:rFonts w:ascii="Arial" w:hAnsi="Arial" w:cs="Arial"/>
          <w:i/>
          <w:sz w:val="20"/>
          <w:szCs w:val="20"/>
        </w:rPr>
        <w:t>quenching</w:t>
      </w:r>
      <w:r w:rsidR="009C6A34">
        <w:rPr>
          <w:rFonts w:ascii="Arial" w:hAnsi="Arial" w:cs="Arial"/>
          <w:sz w:val="20"/>
          <w:szCs w:val="20"/>
        </w:rPr>
        <w:t xml:space="preserve"> into this frozen state</w:t>
      </w:r>
      <w:r w:rsidR="00A104E4">
        <w:rPr>
          <w:rFonts w:ascii="Arial" w:hAnsi="Arial" w:cs="Arial"/>
          <w:sz w:val="20"/>
          <w:szCs w:val="20"/>
        </w:rPr>
        <w:t xml:space="preserve"> from the polarized limit</w:t>
      </w:r>
      <w:r w:rsidR="009C6A34">
        <w:rPr>
          <w:rFonts w:ascii="Arial" w:hAnsi="Arial" w:cs="Arial"/>
          <w:sz w:val="20"/>
          <w:szCs w:val="20"/>
        </w:rPr>
        <w:t xml:space="preserve">, the ac susceptibility </w:t>
      </w:r>
      <w:r w:rsidR="008F1DDE">
        <w:rPr>
          <w:rFonts w:ascii="Arial" w:hAnsi="Arial" w:cs="Arial"/>
          <w:sz w:val="20"/>
          <w:szCs w:val="20"/>
        </w:rPr>
        <w:t>increases sharply</w:t>
      </w:r>
      <w:r w:rsidR="00257823">
        <w:rPr>
          <w:rFonts w:ascii="Arial" w:hAnsi="Arial" w:cs="Arial"/>
          <w:sz w:val="20"/>
          <w:szCs w:val="20"/>
        </w:rPr>
        <w:t xml:space="preserve"> from its zero-</w:t>
      </w:r>
      <w:r w:rsidR="009C6A34">
        <w:rPr>
          <w:rFonts w:ascii="Arial" w:hAnsi="Arial" w:cs="Arial"/>
          <w:sz w:val="20"/>
          <w:szCs w:val="20"/>
        </w:rPr>
        <w:t>field cooled</w:t>
      </w:r>
      <w:r w:rsidR="008F1DDE">
        <w:rPr>
          <w:rFonts w:ascii="Arial" w:hAnsi="Arial" w:cs="Arial"/>
          <w:sz w:val="20"/>
          <w:szCs w:val="20"/>
        </w:rPr>
        <w:t xml:space="preserve"> (ZFC)</w:t>
      </w:r>
      <w:r w:rsidR="009C6A34">
        <w:rPr>
          <w:rFonts w:ascii="Arial" w:hAnsi="Arial" w:cs="Arial"/>
          <w:sz w:val="20"/>
          <w:szCs w:val="20"/>
        </w:rPr>
        <w:t xml:space="preserve"> value (Fig 1 b).  The height of the jump depends strongly on the quench rate (Fig 1c).  Our hypothesis is that this jump indicates a </w:t>
      </w:r>
      <w:r w:rsidR="00F738E8">
        <w:rPr>
          <w:rFonts w:ascii="Arial" w:hAnsi="Arial" w:cs="Arial"/>
          <w:sz w:val="20"/>
          <w:szCs w:val="20"/>
        </w:rPr>
        <w:t xml:space="preserve">‘healing’ of whatever slowly relaxing disorder is caused by cooling into the frozen </w:t>
      </w:r>
      <w:r w:rsidR="008F1DDE">
        <w:rPr>
          <w:rFonts w:ascii="Arial" w:hAnsi="Arial" w:cs="Arial"/>
          <w:sz w:val="20"/>
          <w:szCs w:val="20"/>
        </w:rPr>
        <w:t>regime</w:t>
      </w:r>
      <w:r w:rsidR="00F738E8">
        <w:rPr>
          <w:rFonts w:ascii="Arial" w:hAnsi="Arial" w:cs="Arial"/>
          <w:sz w:val="20"/>
          <w:szCs w:val="20"/>
        </w:rPr>
        <w:t xml:space="preserve">, and that the effectiveness of the healing is increased for lower </w:t>
      </w:r>
      <w:r w:rsidR="008F1DDE">
        <w:rPr>
          <w:rFonts w:ascii="Arial" w:hAnsi="Arial" w:cs="Arial"/>
          <w:sz w:val="20"/>
          <w:szCs w:val="20"/>
        </w:rPr>
        <w:t xml:space="preserve">field </w:t>
      </w:r>
      <w:r w:rsidR="00F738E8">
        <w:rPr>
          <w:rFonts w:ascii="Arial" w:hAnsi="Arial" w:cs="Arial"/>
          <w:sz w:val="20"/>
          <w:szCs w:val="20"/>
        </w:rPr>
        <w:t>quench rates.  This is analogous to glass vs. crystal formation in glass forming liquids; the crystal phase is formed onl</w:t>
      </w:r>
      <w:r w:rsidR="008B6ABD">
        <w:rPr>
          <w:rFonts w:ascii="Arial" w:hAnsi="Arial" w:cs="Arial"/>
          <w:sz w:val="20"/>
          <w:szCs w:val="20"/>
        </w:rPr>
        <w:t>y below a critical quench rate</w:t>
      </w:r>
      <w:r w:rsidR="00F738E8">
        <w:rPr>
          <w:rFonts w:ascii="Arial" w:hAnsi="Arial" w:cs="Arial"/>
          <w:sz w:val="20"/>
          <w:szCs w:val="20"/>
        </w:rPr>
        <w:t xml:space="preserve">.  This result is novel, since to our knowledge, this </w:t>
      </w:r>
      <w:r w:rsidR="008F1DDE">
        <w:rPr>
          <w:rFonts w:ascii="Arial" w:hAnsi="Arial" w:cs="Arial"/>
          <w:sz w:val="20"/>
          <w:szCs w:val="20"/>
        </w:rPr>
        <w:t xml:space="preserve">fundamental phenomenon in glasses </w:t>
      </w:r>
      <w:r w:rsidR="00F738E8">
        <w:rPr>
          <w:rFonts w:ascii="Arial" w:hAnsi="Arial" w:cs="Arial"/>
          <w:sz w:val="20"/>
          <w:szCs w:val="20"/>
        </w:rPr>
        <w:t xml:space="preserve">has never been reported in a </w:t>
      </w:r>
      <w:r w:rsidR="00F738E8" w:rsidRPr="008F1DDE">
        <w:rPr>
          <w:rFonts w:ascii="Arial" w:hAnsi="Arial" w:cs="Arial"/>
          <w:i/>
          <w:sz w:val="20"/>
          <w:szCs w:val="20"/>
        </w:rPr>
        <w:t>spin</w:t>
      </w:r>
      <w:r w:rsidR="00F738E8">
        <w:rPr>
          <w:rFonts w:ascii="Arial" w:hAnsi="Arial" w:cs="Arial"/>
          <w:sz w:val="20"/>
          <w:szCs w:val="20"/>
        </w:rPr>
        <w:t xml:space="preserve"> </w:t>
      </w:r>
      <w:r w:rsidR="008F1DDE">
        <w:rPr>
          <w:rFonts w:ascii="Arial" w:hAnsi="Arial" w:cs="Arial"/>
          <w:sz w:val="20"/>
          <w:szCs w:val="20"/>
        </w:rPr>
        <w:t>frozen</w:t>
      </w:r>
      <w:r w:rsidR="00F738E8">
        <w:rPr>
          <w:rFonts w:ascii="Arial" w:hAnsi="Arial" w:cs="Arial"/>
          <w:sz w:val="20"/>
          <w:szCs w:val="20"/>
        </w:rPr>
        <w:t xml:space="preserve"> material. Furthermore, in this case, the crystallization vs. glass formation </w:t>
      </w:r>
      <w:r w:rsidR="008F1DDE">
        <w:rPr>
          <w:rFonts w:ascii="Arial" w:hAnsi="Arial" w:cs="Arial"/>
          <w:sz w:val="20"/>
          <w:szCs w:val="20"/>
        </w:rPr>
        <w:t>is</w:t>
      </w:r>
      <w:r w:rsidR="00F738E8">
        <w:rPr>
          <w:rFonts w:ascii="Arial" w:hAnsi="Arial" w:cs="Arial"/>
          <w:sz w:val="20"/>
          <w:szCs w:val="20"/>
        </w:rPr>
        <w:t xml:space="preserve"> </w:t>
      </w:r>
      <w:r w:rsidR="008F1DDE">
        <w:rPr>
          <w:rFonts w:ascii="Arial" w:hAnsi="Arial" w:cs="Arial"/>
          <w:sz w:val="20"/>
          <w:szCs w:val="20"/>
        </w:rPr>
        <w:t>c</w:t>
      </w:r>
      <w:r w:rsidR="00F738E8">
        <w:rPr>
          <w:rFonts w:ascii="Arial" w:hAnsi="Arial" w:cs="Arial"/>
          <w:sz w:val="20"/>
          <w:szCs w:val="20"/>
        </w:rPr>
        <w:t xml:space="preserve">ontrolled by the timescale of quantum fluctuations rather than thermal </w:t>
      </w:r>
      <w:r w:rsidR="008F1DDE">
        <w:rPr>
          <w:rFonts w:ascii="Arial" w:hAnsi="Arial" w:cs="Arial"/>
          <w:sz w:val="20"/>
          <w:szCs w:val="20"/>
        </w:rPr>
        <w:t xml:space="preserve">fluctuations.  </w:t>
      </w:r>
      <w:r w:rsidR="00CC67CC">
        <w:rPr>
          <w:rFonts w:ascii="Arial" w:hAnsi="Arial" w:cs="Arial"/>
          <w:sz w:val="20"/>
          <w:szCs w:val="20"/>
        </w:rPr>
        <w:t>These results thus lend</w:t>
      </w:r>
      <w:r w:rsidR="00345D07">
        <w:rPr>
          <w:rFonts w:ascii="Arial" w:hAnsi="Arial" w:cs="Arial"/>
          <w:sz w:val="20"/>
          <w:szCs w:val="20"/>
        </w:rPr>
        <w:t xml:space="preserve"> </w:t>
      </w:r>
      <w:r w:rsidR="008F1DDE">
        <w:rPr>
          <w:rFonts w:ascii="Arial" w:hAnsi="Arial" w:cs="Arial"/>
          <w:sz w:val="20"/>
          <w:szCs w:val="20"/>
        </w:rPr>
        <w:t xml:space="preserve">new </w:t>
      </w:r>
      <w:r w:rsidR="00345D07">
        <w:rPr>
          <w:rFonts w:ascii="Arial" w:hAnsi="Arial" w:cs="Arial"/>
          <w:sz w:val="20"/>
          <w:szCs w:val="20"/>
        </w:rPr>
        <w:t xml:space="preserve">insight into the </w:t>
      </w:r>
      <w:r w:rsidR="00CC67CC">
        <w:rPr>
          <w:rFonts w:ascii="Arial" w:hAnsi="Arial" w:cs="Arial"/>
          <w:sz w:val="20"/>
          <w:szCs w:val="20"/>
        </w:rPr>
        <w:t xml:space="preserve">quantum dynamics of </w:t>
      </w:r>
      <w:r w:rsidR="008F1DDE">
        <w:rPr>
          <w:rFonts w:ascii="Arial" w:hAnsi="Arial" w:cs="Arial"/>
          <w:sz w:val="20"/>
          <w:szCs w:val="20"/>
        </w:rPr>
        <w:t>frozen quantum systems.</w:t>
      </w:r>
    </w:p>
    <w:p w14:paraId="45C774C5" w14:textId="6F4340B0" w:rsidR="00E25473" w:rsidRPr="006B3824" w:rsidRDefault="00E25473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4B4F9E93" w14:textId="77777777" w:rsidR="00AB40BE" w:rsidRDefault="00AB40BE" w:rsidP="00AB40BE">
      <w:pPr>
        <w:rPr>
          <w:rFonts w:ascii="Arial" w:hAnsi="Arial" w:cs="Arial"/>
          <w:b/>
          <w:sz w:val="20"/>
          <w:szCs w:val="20"/>
        </w:rPr>
      </w:pPr>
    </w:p>
    <w:p w14:paraId="488351F5" w14:textId="77777777" w:rsidR="00AB40BE" w:rsidRDefault="00AB40BE" w:rsidP="00AB40BE">
      <w:pPr>
        <w:rPr>
          <w:rFonts w:ascii="Arial" w:hAnsi="Arial" w:cs="Arial"/>
          <w:b/>
          <w:sz w:val="20"/>
          <w:szCs w:val="20"/>
        </w:rPr>
      </w:pPr>
    </w:p>
    <w:p w14:paraId="06A80D3E" w14:textId="4E41BF2A" w:rsidR="00FB4399" w:rsidRDefault="00E25473" w:rsidP="00AB40BE">
      <w:pPr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Acknowledgements</w:t>
      </w:r>
    </w:p>
    <w:p w14:paraId="78CB0090" w14:textId="4B224DA6" w:rsidR="00E25473" w:rsidRPr="008F1DDE" w:rsidRDefault="00FB4399" w:rsidP="0049187D">
      <w:pPr>
        <w:tabs>
          <w:tab w:val="left" w:pos="360"/>
        </w:tabs>
        <w:rPr>
          <w:rFonts w:ascii="Arial" w:eastAsia="Times New Roman" w:hAnsi="Arial" w:cs="Arial"/>
          <w:sz w:val="20"/>
          <w:szCs w:val="20"/>
          <w:lang w:eastAsia="en-US"/>
        </w:rPr>
      </w:pPr>
      <w:r>
        <w:rPr>
          <w:rFonts w:ascii="Arial" w:eastAsia="Times New Roman" w:hAnsi="Arial" w:cs="Arial"/>
          <w:sz w:val="20"/>
          <w:szCs w:val="20"/>
          <w:lang w:eastAsia="en-US"/>
        </w:rPr>
        <w:tab/>
      </w:r>
      <w:r w:rsidRPr="00334CEB">
        <w:rPr>
          <w:rFonts w:ascii="Arial" w:eastAsia="Times New Roman" w:hAnsi="Arial" w:cs="Arial"/>
          <w:sz w:val="20"/>
          <w:szCs w:val="20"/>
          <w:lang w:eastAsia="en-US"/>
        </w:rPr>
        <w:t>A portion of this work was performed at the National High Magnetic Field Laboratory, which is supported by National Science Foundation Coopera</w:t>
      </w:r>
      <w:r w:rsidR="003A1FF5">
        <w:rPr>
          <w:rFonts w:ascii="Arial" w:eastAsia="Times New Roman" w:hAnsi="Arial" w:cs="Arial"/>
          <w:sz w:val="20"/>
          <w:szCs w:val="20"/>
          <w:lang w:eastAsia="en-US"/>
        </w:rPr>
        <w:t>tive Agreement No. DMR-1157490</w:t>
      </w:r>
      <w:r w:rsidR="00A758E6">
        <w:rPr>
          <w:rFonts w:ascii="Arial" w:eastAsia="Times New Roman" w:hAnsi="Arial" w:cs="Arial"/>
          <w:sz w:val="20"/>
          <w:szCs w:val="20"/>
          <w:lang w:eastAsia="en-US"/>
        </w:rPr>
        <w:t xml:space="preserve"> and </w:t>
      </w:r>
      <w:r w:rsidRPr="00334CEB">
        <w:rPr>
          <w:rFonts w:ascii="Arial" w:eastAsia="Times New Roman" w:hAnsi="Arial" w:cs="Arial"/>
          <w:sz w:val="20"/>
          <w:szCs w:val="20"/>
          <w:lang w:eastAsia="en-US"/>
        </w:rPr>
        <w:t>the Stat</w:t>
      </w:r>
      <w:r w:rsidR="00334CEB">
        <w:rPr>
          <w:rFonts w:ascii="Arial" w:eastAsia="Times New Roman" w:hAnsi="Arial" w:cs="Arial"/>
          <w:sz w:val="20"/>
          <w:szCs w:val="20"/>
          <w:lang w:eastAsia="en-US"/>
        </w:rPr>
        <w:t>e of Florida</w:t>
      </w:r>
      <w:r w:rsidR="00A758E6">
        <w:rPr>
          <w:rFonts w:ascii="Arial" w:eastAsia="Times New Roman" w:hAnsi="Arial" w:cs="Arial"/>
          <w:sz w:val="20"/>
          <w:szCs w:val="20"/>
          <w:lang w:eastAsia="en-US"/>
        </w:rPr>
        <w:t xml:space="preserve">. </w:t>
      </w:r>
      <w:r w:rsidR="00491C5D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  <w:r w:rsidR="008B6ABD">
        <w:rPr>
          <w:rFonts w:ascii="Arial" w:eastAsia="Times New Roman" w:hAnsi="Arial" w:cs="Arial"/>
          <w:sz w:val="20"/>
          <w:szCs w:val="20"/>
          <w:lang w:eastAsia="en-US"/>
        </w:rPr>
        <w:t>We gratefully acknowledge the technical support of Eun Sang Choi (National High Magnetic Field Laboratory).</w:t>
      </w:r>
    </w:p>
    <w:p w14:paraId="1EE17EB7" w14:textId="77777777" w:rsidR="00F908F6" w:rsidRDefault="00F908F6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4BC6E342" w14:textId="77777777" w:rsidR="00C37DD0" w:rsidRPr="006B3824" w:rsidRDefault="00C37DD0" w:rsidP="00C37DD0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References</w:t>
      </w:r>
    </w:p>
    <w:p w14:paraId="7F7789BD" w14:textId="5A5461E8" w:rsidR="008F1DDE" w:rsidRPr="00C84968" w:rsidRDefault="008F1DDE" w:rsidP="00AB40BE">
      <w:pPr>
        <w:jc w:val="both"/>
        <w:rPr>
          <w:rFonts w:ascii="Arial" w:hAnsi="Arial" w:cs="Arial"/>
          <w:sz w:val="20"/>
          <w:szCs w:val="20"/>
        </w:rPr>
      </w:pPr>
      <w:r w:rsidRPr="00C84968">
        <w:rPr>
          <w:rFonts w:ascii="Arial" w:hAnsi="Arial" w:cs="Arial"/>
          <w:sz w:val="20"/>
          <w:szCs w:val="20"/>
        </w:rPr>
        <w:t xml:space="preserve">[1] Coldea, R.  </w:t>
      </w:r>
      <w:r w:rsidRPr="00C84968">
        <w:rPr>
          <w:rFonts w:ascii="Arial" w:hAnsi="Arial" w:cs="Arial"/>
          <w:i/>
          <w:sz w:val="20"/>
          <w:szCs w:val="20"/>
        </w:rPr>
        <w:t>et a</w:t>
      </w:r>
      <w:r w:rsidRPr="00C84968">
        <w:rPr>
          <w:rFonts w:ascii="Arial" w:hAnsi="Arial" w:cs="Arial"/>
          <w:sz w:val="20"/>
          <w:szCs w:val="20"/>
        </w:rPr>
        <w:t>l</w:t>
      </w:r>
      <w:r w:rsidRPr="00C84968">
        <w:rPr>
          <w:rFonts w:ascii="Arial" w:hAnsi="Arial" w:cs="Arial"/>
          <w:i/>
          <w:sz w:val="20"/>
          <w:szCs w:val="20"/>
        </w:rPr>
        <w:t xml:space="preserve">, </w:t>
      </w:r>
      <w:r w:rsidRPr="00C84968">
        <w:rPr>
          <w:rFonts w:ascii="Arial" w:hAnsi="Arial" w:cs="Arial"/>
          <w:sz w:val="20"/>
          <w:szCs w:val="20"/>
        </w:rPr>
        <w:t>Science</w:t>
      </w:r>
      <w:r w:rsidRPr="00C84968">
        <w:rPr>
          <w:rFonts w:ascii="Arial" w:hAnsi="Arial" w:cs="Arial"/>
          <w:i/>
          <w:sz w:val="20"/>
          <w:szCs w:val="20"/>
        </w:rPr>
        <w:t xml:space="preserve"> </w:t>
      </w:r>
      <w:r w:rsidRPr="00C84968">
        <w:rPr>
          <w:rFonts w:ascii="Arial" w:hAnsi="Arial" w:cs="Arial"/>
          <w:b/>
          <w:sz w:val="20"/>
          <w:szCs w:val="20"/>
        </w:rPr>
        <w:t>327</w:t>
      </w:r>
      <w:r w:rsidRPr="00C84968">
        <w:rPr>
          <w:rFonts w:ascii="Arial" w:hAnsi="Arial" w:cs="Arial"/>
          <w:sz w:val="20"/>
          <w:szCs w:val="20"/>
        </w:rPr>
        <w:t xml:space="preserve">, 177 (2010). </w:t>
      </w:r>
    </w:p>
    <w:p w14:paraId="46BD556F" w14:textId="52593F24" w:rsidR="00C37DD0" w:rsidRPr="006B3824" w:rsidRDefault="008B6ABD" w:rsidP="00257823">
      <w:pPr>
        <w:jc w:val="both"/>
        <w:rPr>
          <w:rFonts w:ascii="Arial" w:hAnsi="Arial" w:cs="Arial"/>
          <w:sz w:val="20"/>
          <w:szCs w:val="20"/>
        </w:rPr>
      </w:pPr>
      <w:r w:rsidRPr="008B6ABD">
        <w:rPr>
          <w:rFonts w:ascii="Arial" w:hAnsi="Arial" w:cs="Arial"/>
          <w:sz w:val="20"/>
          <w:szCs w:val="20"/>
        </w:rPr>
        <w:t>[2</w:t>
      </w:r>
      <w:r w:rsidR="00C37DD0" w:rsidRPr="008B6ABD">
        <w:rPr>
          <w:rFonts w:ascii="Arial" w:hAnsi="Arial" w:cs="Arial"/>
          <w:sz w:val="20"/>
          <w:szCs w:val="20"/>
        </w:rPr>
        <w:t>]</w:t>
      </w:r>
      <w:r w:rsidRPr="008B6ABD">
        <w:rPr>
          <w:rFonts w:ascii="Arial" w:hAnsi="Arial" w:cs="Arial"/>
          <w:sz w:val="20"/>
          <w:szCs w:val="20"/>
        </w:rPr>
        <w:t xml:space="preserve"> S. Kobayashi et a., Phys. Rev. B</w:t>
      </w:r>
      <w:r w:rsidRPr="008B6ABD">
        <w:rPr>
          <w:rFonts w:ascii="Arial" w:hAnsi="Arial" w:cs="Arial"/>
          <w:i/>
          <w:sz w:val="20"/>
          <w:szCs w:val="20"/>
        </w:rPr>
        <w:t xml:space="preserve"> </w:t>
      </w:r>
      <w:r w:rsidRPr="008B6ABD">
        <w:rPr>
          <w:rFonts w:ascii="Arial" w:hAnsi="Arial" w:cs="Arial"/>
          <w:b/>
          <w:sz w:val="20"/>
          <w:szCs w:val="20"/>
        </w:rPr>
        <w:t>60</w:t>
      </w:r>
      <w:r>
        <w:rPr>
          <w:rFonts w:ascii="Arial" w:hAnsi="Arial" w:cs="Arial"/>
          <w:sz w:val="20"/>
          <w:szCs w:val="20"/>
        </w:rPr>
        <w:t>, 3331 (1999)</w:t>
      </w:r>
      <w:r w:rsidRPr="008B6ABD">
        <w:rPr>
          <w:rFonts w:ascii="Arial" w:hAnsi="Arial" w:cs="Arial"/>
          <w:sz w:val="20"/>
          <w:szCs w:val="20"/>
        </w:rPr>
        <w:t xml:space="preserve"> </w:t>
      </w:r>
    </w:p>
    <w:sectPr w:rsidR="00C37DD0" w:rsidRPr="006B3824" w:rsidSect="00450C97">
      <w:headerReference w:type="default" r:id="rId11"/>
      <w:pgSz w:w="12240" w:h="15840" w:code="1"/>
      <w:pgMar w:top="1155" w:right="1080" w:bottom="1080" w:left="1080" w:header="18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706BC6" w14:textId="77777777" w:rsidR="005F148F" w:rsidRDefault="005F148F">
      <w:r>
        <w:separator/>
      </w:r>
    </w:p>
  </w:endnote>
  <w:endnote w:type="continuationSeparator" w:id="0">
    <w:p w14:paraId="6ED216F3" w14:textId="77777777" w:rsidR="005F148F" w:rsidRDefault="005F1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0015DF" w14:textId="77777777" w:rsidR="005F148F" w:rsidRDefault="005F148F">
      <w:r>
        <w:separator/>
      </w:r>
    </w:p>
  </w:footnote>
  <w:footnote w:type="continuationSeparator" w:id="0">
    <w:p w14:paraId="405A4331" w14:textId="77777777" w:rsidR="005F148F" w:rsidRDefault="005F14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B7F491" w14:textId="77777777" w:rsidR="00F974C6" w:rsidRDefault="00C37DD0" w:rsidP="00F974C6">
    <w:pPr>
      <w:pStyle w:val="Header"/>
      <w:rPr>
        <w:rStyle w:val="BookTitle1"/>
        <w:rFonts w:ascii="Arial" w:hAnsi="Arial" w:cs="Arial"/>
        <w:color w:val="1F497D"/>
        <w:sz w:val="22"/>
        <w:szCs w:val="22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E3F173F" wp14:editId="756B8727">
              <wp:simplePos x="0" y="0"/>
              <wp:positionH relativeFrom="column">
                <wp:posOffset>1200150</wp:posOffset>
              </wp:positionH>
              <wp:positionV relativeFrom="paragraph">
                <wp:posOffset>66040</wp:posOffset>
              </wp:positionV>
              <wp:extent cx="3876675" cy="4292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6675" cy="429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BA18DA" w14:textId="77777777" w:rsidR="00F95583" w:rsidRPr="00091A2B" w:rsidRDefault="001E6BF4" w:rsidP="00F9558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</w:pPr>
                          <w:r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 xml:space="preserve">NATIONAL HIGH MAGNETIC FIELD </w:t>
                          </w:r>
                          <w:r w:rsidR="00A55035"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>LABORATORY</w:t>
                          </w:r>
                        </w:p>
                        <w:p w14:paraId="60583132" w14:textId="77777777" w:rsidR="00F974C6" w:rsidRPr="00091A2B" w:rsidRDefault="001E6BF4" w:rsidP="001E6B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</w:pPr>
                          <w:r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>201</w:t>
                          </w:r>
                          <w:r w:rsidR="00091A2B"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>7</w:t>
                          </w:r>
                          <w:r w:rsidR="008A1D84"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 xml:space="preserve"> </w:t>
                          </w:r>
                          <w:r w:rsidR="00F974C6"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>ANNUAL RESEARCH REPORT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1E3F173F" id="_x0000_t202" coordsize="21600,21600" o:spt="202" path="m0,0l0,21600,21600,21600,21600,0xe">
              <v:stroke joinstyle="miter"/>
              <v:path gradientshapeok="t" o:connecttype="rect"/>
            </v:shapetype>
            <v:shape id="_x0000_s1027" type="#_x0000_t202" style="position:absolute;margin-left:94.5pt;margin-top:5.2pt;width:305.25pt;height:33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" stroked="f">
              <v:textbox>
                <w:txbxContent>
                  <w:p w14:paraId="4ABA18DA" w14:textId="77777777" w:rsidR="00F95583" w:rsidRPr="00091A2B" w:rsidRDefault="001E6BF4" w:rsidP="00F95583">
                    <w:pPr>
                      <w:jc w:val="center"/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</w:pPr>
                    <w:r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 xml:space="preserve">NATIONAL HIGH MAGNETIC FIELD </w:t>
                    </w:r>
                    <w:r w:rsidR="00A55035"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>LABORATORY</w:t>
                    </w:r>
                  </w:p>
                  <w:p w14:paraId="60583132" w14:textId="77777777" w:rsidR="00F974C6" w:rsidRPr="00091A2B" w:rsidRDefault="001E6BF4" w:rsidP="001E6BF4">
                    <w:pPr>
                      <w:jc w:val="center"/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</w:pPr>
                    <w:r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>201</w:t>
                    </w:r>
                    <w:r w:rsidR="00091A2B"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>7</w:t>
                    </w:r>
                    <w:r w:rsidR="008A1D84"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 xml:space="preserve"> </w:t>
                    </w:r>
                    <w:r w:rsidR="00F974C6"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>ANNUAL RESEARCH REPORT</w:t>
                    </w:r>
                  </w:p>
                </w:txbxContent>
              </v:textbox>
            </v:shape>
          </w:pict>
        </mc:Fallback>
      </mc:AlternateContent>
    </w:r>
    <w:r w:rsidRPr="00E60509">
      <w:rPr>
        <w:rFonts w:ascii="Arial" w:hAnsi="Arial" w:cs="Arial"/>
        <w:b/>
        <w:smallCaps/>
        <w:noProof/>
        <w:color w:val="1F497D"/>
        <w:spacing w:val="5"/>
        <w:sz w:val="22"/>
        <w:szCs w:val="22"/>
        <w:lang w:eastAsia="en-US"/>
      </w:rPr>
      <w:drawing>
        <wp:inline distT="0" distB="0" distL="0" distR="0" wp14:anchorId="392CD702" wp14:editId="08413AAD">
          <wp:extent cx="523875" cy="631825"/>
          <wp:effectExtent l="0" t="0" r="0" b="0"/>
          <wp:docPr id="1" name="Picture 212" descr="JustM_purp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2" descr="JustM_purp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3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B60E5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B"/>
    <w:multiLevelType w:val="multilevel"/>
    <w:tmpl w:val="C18821DE"/>
    <w:lvl w:ilvl="0">
      <w:start w:val="1"/>
      <w:numFmt w:val="upperRoman"/>
      <w:pStyle w:val="Heading1"/>
      <w:lvlText w:val="%1."/>
      <w:legacy w:legacy="1" w:legacySpace="144" w:legacyIndent="144"/>
      <w:lvlJc w:val="left"/>
      <w:rPr>
        <w:rFonts w:cs="Times New Roman"/>
      </w:rPr>
    </w:lvl>
    <w:lvl w:ilvl="1">
      <w:start w:val="1"/>
      <w:numFmt w:val="upperLetter"/>
      <w:pStyle w:val="Heading2"/>
      <w:lvlText w:val="%2."/>
      <w:legacy w:legacy="1" w:legacySpace="144" w:legacyIndent="144"/>
      <w:lvlJc w:val="left"/>
      <w:rPr>
        <w:rFonts w:cs="Times New Roman"/>
      </w:rPr>
    </w:lvl>
    <w:lvl w:ilvl="2">
      <w:start w:val="1"/>
      <w:numFmt w:val="decimal"/>
      <w:pStyle w:val="Heading3"/>
      <w:lvlText w:val="%3)"/>
      <w:legacy w:legacy="1" w:legacySpace="144" w:legacyIndent="144"/>
      <w:lvlJc w:val="left"/>
      <w:rPr>
        <w:rFonts w:cs="Times New Roman"/>
      </w:rPr>
    </w:lvl>
    <w:lvl w:ilvl="3">
      <w:start w:val="1"/>
      <w:numFmt w:val="lowerLetter"/>
      <w:pStyle w:val="Heading4"/>
      <w:lvlText w:val="%4)"/>
      <w:legacy w:legacy="1" w:legacySpace="0" w:legacyIndent="720"/>
      <w:lvlJc w:val="left"/>
      <w:pPr>
        <w:ind w:left="1152" w:hanging="720"/>
      </w:pPr>
      <w:rPr>
        <w:rFonts w:cs="Times New Roman"/>
      </w:r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left="1872" w:hanging="720"/>
      </w:pPr>
      <w:rPr>
        <w:rFonts w:cs="Times New Roman"/>
      </w:rPr>
    </w:lvl>
    <w:lvl w:ilvl="5">
      <w:start w:val="1"/>
      <w:numFmt w:val="lowerLetter"/>
      <w:pStyle w:val="Heading6"/>
      <w:lvlText w:val="(%6)"/>
      <w:legacy w:legacy="1" w:legacySpace="0" w:legacyIndent="720"/>
      <w:lvlJc w:val="left"/>
      <w:pPr>
        <w:ind w:left="2592" w:hanging="720"/>
      </w:pPr>
      <w:rPr>
        <w:rFonts w:cs="Times New Roman"/>
      </w:rPr>
    </w:lvl>
    <w:lvl w:ilvl="6">
      <w:start w:val="1"/>
      <w:numFmt w:val="lowerRoman"/>
      <w:pStyle w:val="Heading7"/>
      <w:lvlText w:val="(%7)"/>
      <w:legacy w:legacy="1" w:legacySpace="0" w:legacyIndent="720"/>
      <w:lvlJc w:val="left"/>
      <w:pPr>
        <w:ind w:left="3312" w:hanging="720"/>
      </w:pPr>
      <w:rPr>
        <w:rFonts w:cs="Times New Roman"/>
      </w:r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4032" w:hanging="720"/>
      </w:pPr>
      <w:rPr>
        <w:rFonts w:cs="Times New Roman"/>
      </w:r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4752" w:hanging="720"/>
      </w:pPr>
      <w:rPr>
        <w:rFonts w:cs="Times New Roman"/>
      </w:rPr>
    </w:lvl>
  </w:abstractNum>
  <w:abstractNum w:abstractNumId="2">
    <w:nsid w:val="089A391B"/>
    <w:multiLevelType w:val="hybridMultilevel"/>
    <w:tmpl w:val="FE2A3B5A"/>
    <w:lvl w:ilvl="0" w:tplc="A9A0EA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39B46E9"/>
    <w:multiLevelType w:val="hybridMultilevel"/>
    <w:tmpl w:val="850C7C04"/>
    <w:lvl w:ilvl="0" w:tplc="3800B754">
      <w:start w:val="1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62D1F53"/>
    <w:multiLevelType w:val="hybridMultilevel"/>
    <w:tmpl w:val="B52A9A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8FA1EEE"/>
    <w:multiLevelType w:val="multilevel"/>
    <w:tmpl w:val="83828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3A0CEE"/>
    <w:multiLevelType w:val="hybridMultilevel"/>
    <w:tmpl w:val="4FA857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 style="mso-width-relative:margin;mso-height-relative:margin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C19"/>
    <w:rsid w:val="00020C55"/>
    <w:rsid w:val="000503BC"/>
    <w:rsid w:val="000558AC"/>
    <w:rsid w:val="000736B9"/>
    <w:rsid w:val="00085670"/>
    <w:rsid w:val="00085CB6"/>
    <w:rsid w:val="00091A2B"/>
    <w:rsid w:val="000A0256"/>
    <w:rsid w:val="000A1716"/>
    <w:rsid w:val="000A59A8"/>
    <w:rsid w:val="000E1D4F"/>
    <w:rsid w:val="00104A4C"/>
    <w:rsid w:val="00112ED6"/>
    <w:rsid w:val="00113D92"/>
    <w:rsid w:val="00120180"/>
    <w:rsid w:val="0014131B"/>
    <w:rsid w:val="00141FE9"/>
    <w:rsid w:val="00155AD2"/>
    <w:rsid w:val="00167606"/>
    <w:rsid w:val="001836FA"/>
    <w:rsid w:val="0018419E"/>
    <w:rsid w:val="0018697C"/>
    <w:rsid w:val="00187023"/>
    <w:rsid w:val="001B29A7"/>
    <w:rsid w:val="001D59E4"/>
    <w:rsid w:val="001E526E"/>
    <w:rsid w:val="001E5ECF"/>
    <w:rsid w:val="001E6BF4"/>
    <w:rsid w:val="00226232"/>
    <w:rsid w:val="00231335"/>
    <w:rsid w:val="00233F11"/>
    <w:rsid w:val="00241739"/>
    <w:rsid w:val="002426D5"/>
    <w:rsid w:val="002524EE"/>
    <w:rsid w:val="00257823"/>
    <w:rsid w:val="00265A15"/>
    <w:rsid w:val="00290223"/>
    <w:rsid w:val="002A47ED"/>
    <w:rsid w:val="002C0011"/>
    <w:rsid w:val="002C7675"/>
    <w:rsid w:val="00306550"/>
    <w:rsid w:val="00312C04"/>
    <w:rsid w:val="00334CEB"/>
    <w:rsid w:val="00345D07"/>
    <w:rsid w:val="003560D2"/>
    <w:rsid w:val="00363C8F"/>
    <w:rsid w:val="00367E0F"/>
    <w:rsid w:val="00376D2C"/>
    <w:rsid w:val="00393065"/>
    <w:rsid w:val="003A1FF5"/>
    <w:rsid w:val="003C6493"/>
    <w:rsid w:val="003E2F8E"/>
    <w:rsid w:val="003F55A7"/>
    <w:rsid w:val="003F6E7E"/>
    <w:rsid w:val="00410D2C"/>
    <w:rsid w:val="00420894"/>
    <w:rsid w:val="00447224"/>
    <w:rsid w:val="00450C97"/>
    <w:rsid w:val="00486FF9"/>
    <w:rsid w:val="0049187D"/>
    <w:rsid w:val="00491C5D"/>
    <w:rsid w:val="004A227C"/>
    <w:rsid w:val="004C7EAF"/>
    <w:rsid w:val="004F160B"/>
    <w:rsid w:val="004F709E"/>
    <w:rsid w:val="005034C0"/>
    <w:rsid w:val="00511F7E"/>
    <w:rsid w:val="00516E27"/>
    <w:rsid w:val="005173CE"/>
    <w:rsid w:val="0053142A"/>
    <w:rsid w:val="005452B9"/>
    <w:rsid w:val="005602E5"/>
    <w:rsid w:val="00583BC3"/>
    <w:rsid w:val="005A1B84"/>
    <w:rsid w:val="005B1210"/>
    <w:rsid w:val="005C4422"/>
    <w:rsid w:val="005C4667"/>
    <w:rsid w:val="005C5648"/>
    <w:rsid w:val="005E676C"/>
    <w:rsid w:val="005F148F"/>
    <w:rsid w:val="00625028"/>
    <w:rsid w:val="00627F7D"/>
    <w:rsid w:val="0065072D"/>
    <w:rsid w:val="006612DC"/>
    <w:rsid w:val="0066218B"/>
    <w:rsid w:val="00672D41"/>
    <w:rsid w:val="006B3824"/>
    <w:rsid w:val="006C4440"/>
    <w:rsid w:val="006D745E"/>
    <w:rsid w:val="006E2CE0"/>
    <w:rsid w:val="006E4A9F"/>
    <w:rsid w:val="007207FF"/>
    <w:rsid w:val="00731C19"/>
    <w:rsid w:val="00734E94"/>
    <w:rsid w:val="00764FB5"/>
    <w:rsid w:val="00771745"/>
    <w:rsid w:val="00774A49"/>
    <w:rsid w:val="00777754"/>
    <w:rsid w:val="007C0813"/>
    <w:rsid w:val="007D3105"/>
    <w:rsid w:val="007E2F28"/>
    <w:rsid w:val="0081051D"/>
    <w:rsid w:val="00862CB5"/>
    <w:rsid w:val="00883638"/>
    <w:rsid w:val="008A1D84"/>
    <w:rsid w:val="008B05B8"/>
    <w:rsid w:val="008B6ABD"/>
    <w:rsid w:val="008C07D8"/>
    <w:rsid w:val="008C5788"/>
    <w:rsid w:val="008E5BC5"/>
    <w:rsid w:val="008E5C85"/>
    <w:rsid w:val="008F1DDE"/>
    <w:rsid w:val="008F35CC"/>
    <w:rsid w:val="008F6083"/>
    <w:rsid w:val="00930E48"/>
    <w:rsid w:val="00956687"/>
    <w:rsid w:val="009648AC"/>
    <w:rsid w:val="00996F0E"/>
    <w:rsid w:val="009A39F6"/>
    <w:rsid w:val="009A3F73"/>
    <w:rsid w:val="009B41B2"/>
    <w:rsid w:val="009C318D"/>
    <w:rsid w:val="009C3DF0"/>
    <w:rsid w:val="009C6A34"/>
    <w:rsid w:val="009C7F31"/>
    <w:rsid w:val="009D39A4"/>
    <w:rsid w:val="009E4F1E"/>
    <w:rsid w:val="00A104E4"/>
    <w:rsid w:val="00A1227A"/>
    <w:rsid w:val="00A55035"/>
    <w:rsid w:val="00A758E6"/>
    <w:rsid w:val="00A94FC4"/>
    <w:rsid w:val="00A97CB0"/>
    <w:rsid w:val="00AB40BE"/>
    <w:rsid w:val="00AC297F"/>
    <w:rsid w:val="00AC4AFE"/>
    <w:rsid w:val="00AD3CDD"/>
    <w:rsid w:val="00AD6D3C"/>
    <w:rsid w:val="00AE142B"/>
    <w:rsid w:val="00AF7C63"/>
    <w:rsid w:val="00B00CDB"/>
    <w:rsid w:val="00B25D4D"/>
    <w:rsid w:val="00B45112"/>
    <w:rsid w:val="00B5585D"/>
    <w:rsid w:val="00B62246"/>
    <w:rsid w:val="00B71405"/>
    <w:rsid w:val="00B75DC9"/>
    <w:rsid w:val="00B938F1"/>
    <w:rsid w:val="00B94321"/>
    <w:rsid w:val="00B95FCB"/>
    <w:rsid w:val="00B96080"/>
    <w:rsid w:val="00BA00BE"/>
    <w:rsid w:val="00BA7096"/>
    <w:rsid w:val="00BE2257"/>
    <w:rsid w:val="00C02989"/>
    <w:rsid w:val="00C076C7"/>
    <w:rsid w:val="00C13313"/>
    <w:rsid w:val="00C37DD0"/>
    <w:rsid w:val="00C75A17"/>
    <w:rsid w:val="00C81666"/>
    <w:rsid w:val="00C83434"/>
    <w:rsid w:val="00C83EAA"/>
    <w:rsid w:val="00C84968"/>
    <w:rsid w:val="00C93F0D"/>
    <w:rsid w:val="00C9697C"/>
    <w:rsid w:val="00CA6625"/>
    <w:rsid w:val="00CB0819"/>
    <w:rsid w:val="00CB1A7C"/>
    <w:rsid w:val="00CB4058"/>
    <w:rsid w:val="00CC5B40"/>
    <w:rsid w:val="00CC67CC"/>
    <w:rsid w:val="00CE3F90"/>
    <w:rsid w:val="00D01F6B"/>
    <w:rsid w:val="00D0313F"/>
    <w:rsid w:val="00D07879"/>
    <w:rsid w:val="00D1756D"/>
    <w:rsid w:val="00D65CBB"/>
    <w:rsid w:val="00D67B56"/>
    <w:rsid w:val="00D851F6"/>
    <w:rsid w:val="00DA6356"/>
    <w:rsid w:val="00DD44E5"/>
    <w:rsid w:val="00DE3216"/>
    <w:rsid w:val="00E04B24"/>
    <w:rsid w:val="00E07ED9"/>
    <w:rsid w:val="00E25473"/>
    <w:rsid w:val="00E411D1"/>
    <w:rsid w:val="00E43BB4"/>
    <w:rsid w:val="00E5095B"/>
    <w:rsid w:val="00E57E61"/>
    <w:rsid w:val="00E60509"/>
    <w:rsid w:val="00EA1E33"/>
    <w:rsid w:val="00EB489A"/>
    <w:rsid w:val="00EB515D"/>
    <w:rsid w:val="00F23F2F"/>
    <w:rsid w:val="00F31351"/>
    <w:rsid w:val="00F31B06"/>
    <w:rsid w:val="00F43581"/>
    <w:rsid w:val="00F4530F"/>
    <w:rsid w:val="00F45B22"/>
    <w:rsid w:val="00F52E02"/>
    <w:rsid w:val="00F54466"/>
    <w:rsid w:val="00F738E8"/>
    <w:rsid w:val="00F8198A"/>
    <w:rsid w:val="00F908F6"/>
    <w:rsid w:val="00F935F1"/>
    <w:rsid w:val="00F95583"/>
    <w:rsid w:val="00F974C6"/>
    <w:rsid w:val="00FB4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width-relative:margin;mso-height-relative:margin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4:docId w14:val="5132B0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39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5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85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3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13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032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06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314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569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62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250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0111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319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6401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oth\AppData\Local\Microsoft\Windows\Temporary%20Internet%20Files\Content.Outlook\IIDJZ9OD\141015%202014-Research%20ReportTemplat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C644643969264883FBBDDE284BCE88" ma:contentTypeVersion="0" ma:contentTypeDescription="Create a new document." ma:contentTypeScope="" ma:versionID="f9f072c2bf7ffe07f2236eeac41fd8c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B38F5D4D-748B-4574-A706-3F69CB5522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4EB0EC-C746-4224-8CAA-A2E0A1AB46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141015 2014-Research ReportTemplate</Template>
  <TotalTime>1</TotalTime>
  <Pages>1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NHMFL Research Report</vt:lpstr>
    </vt:vector>
  </TitlesOfParts>
  <Company>NHMFL</Company>
  <LinksUpToDate>false</LinksUpToDate>
  <CharactersWithSpaces>3369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NHMFL Research Report</dc:title>
  <dc:subject/>
  <dc:creator>Anke Toth</dc:creator>
  <cp:keywords/>
  <cp:lastModifiedBy>Anke Toth</cp:lastModifiedBy>
  <cp:revision>4</cp:revision>
  <cp:lastPrinted>2015-07-15T22:10:00Z</cp:lastPrinted>
  <dcterms:created xsi:type="dcterms:W3CDTF">2018-01-08T21:05:00Z</dcterms:created>
  <dcterms:modified xsi:type="dcterms:W3CDTF">2018-04-10T18:16:00Z</dcterms:modified>
</cp:coreProperties>
</file>