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4759" w14:textId="77B92734" w:rsidR="003E2F8E" w:rsidRPr="006B3824" w:rsidRDefault="001E7584" w:rsidP="00F5335C">
      <w:pPr>
        <w:tabs>
          <w:tab w:val="left" w:pos="360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1E7584">
        <w:rPr>
          <w:rFonts w:ascii="Arial" w:hAnsi="Arial" w:cs="Arial"/>
          <w:b/>
        </w:rPr>
        <w:t>Fermi surface investigations of a pyrochlore iridate close to a quantum critical point</w:t>
      </w:r>
    </w:p>
    <w:p w14:paraId="2E27CD04" w14:textId="77777777" w:rsidR="001E7584" w:rsidRDefault="001E758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7F0E852" w14:textId="3525523D" w:rsidR="00A94FC4" w:rsidRDefault="001E758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Gotze, </w:t>
      </w:r>
      <w:r w:rsidR="00CB1412">
        <w:rPr>
          <w:rFonts w:ascii="Arial" w:hAnsi="Arial" w:cs="Arial"/>
          <w:sz w:val="20"/>
          <w:szCs w:val="20"/>
        </w:rPr>
        <w:t xml:space="preserve">K., </w:t>
      </w:r>
      <w:r>
        <w:rPr>
          <w:rFonts w:ascii="Arial" w:hAnsi="Arial" w:cs="Arial"/>
          <w:sz w:val="20"/>
          <w:szCs w:val="20"/>
        </w:rPr>
        <w:t xml:space="preserve">Pearce, </w:t>
      </w:r>
      <w:r w:rsidR="00CB1412">
        <w:rPr>
          <w:rFonts w:ascii="Arial" w:hAnsi="Arial" w:cs="Arial"/>
          <w:sz w:val="20"/>
          <w:szCs w:val="20"/>
        </w:rPr>
        <w:t xml:space="preserve">M., </w:t>
      </w:r>
      <w:r w:rsidRPr="001E7584">
        <w:rPr>
          <w:rFonts w:ascii="Arial" w:hAnsi="Arial" w:cs="Arial"/>
          <w:sz w:val="20"/>
          <w:szCs w:val="20"/>
          <w:u w:val="single"/>
        </w:rPr>
        <w:t>Goddard</w:t>
      </w:r>
      <w:r w:rsidR="00CB1412">
        <w:rPr>
          <w:rFonts w:ascii="Arial" w:hAnsi="Arial" w:cs="Arial"/>
          <w:sz w:val="20"/>
          <w:szCs w:val="20"/>
          <w:u w:val="single"/>
        </w:rPr>
        <w:t>, P.</w:t>
      </w:r>
      <w:r>
        <w:rPr>
          <w:rFonts w:ascii="Arial" w:hAnsi="Arial" w:cs="Arial"/>
          <w:sz w:val="20"/>
          <w:szCs w:val="20"/>
        </w:rPr>
        <w:t xml:space="preserve"> (University</w:t>
      </w:r>
      <w:r w:rsidR="00F5335C">
        <w:rPr>
          <w:rFonts w:ascii="Arial" w:hAnsi="Arial" w:cs="Arial"/>
          <w:sz w:val="20"/>
          <w:szCs w:val="20"/>
        </w:rPr>
        <w:t xml:space="preserve"> of Warwick, UK</w:t>
      </w:r>
      <w:r>
        <w:rPr>
          <w:rFonts w:ascii="Arial" w:hAnsi="Arial" w:cs="Arial"/>
          <w:sz w:val="20"/>
          <w:szCs w:val="20"/>
        </w:rPr>
        <w:t>)</w:t>
      </w:r>
      <w:r w:rsidR="00CB1412">
        <w:rPr>
          <w:rFonts w:ascii="Arial" w:hAnsi="Arial" w:cs="Arial"/>
          <w:sz w:val="20"/>
          <w:szCs w:val="20"/>
        </w:rPr>
        <w:t>;</w:t>
      </w:r>
      <w:r w:rsidRPr="001E7584">
        <w:rPr>
          <w:rFonts w:ascii="Arial" w:hAnsi="Arial" w:cs="Arial"/>
          <w:sz w:val="20"/>
          <w:szCs w:val="20"/>
        </w:rPr>
        <w:t xml:space="preserve"> Boothroyd, </w:t>
      </w:r>
      <w:r w:rsidR="00CB1412">
        <w:rPr>
          <w:rFonts w:ascii="Arial" w:hAnsi="Arial" w:cs="Arial"/>
          <w:sz w:val="20"/>
          <w:szCs w:val="20"/>
        </w:rPr>
        <w:t xml:space="preserve">A., </w:t>
      </w:r>
      <w:r w:rsidRPr="001E7584">
        <w:rPr>
          <w:rFonts w:ascii="Arial" w:hAnsi="Arial" w:cs="Arial"/>
          <w:sz w:val="20"/>
          <w:szCs w:val="20"/>
        </w:rPr>
        <w:t>Prabhaka</w:t>
      </w:r>
      <w:r>
        <w:rPr>
          <w:rFonts w:ascii="Arial" w:hAnsi="Arial" w:cs="Arial"/>
          <w:sz w:val="20"/>
          <w:szCs w:val="20"/>
        </w:rPr>
        <w:t>ran</w:t>
      </w:r>
      <w:r w:rsidR="00CB1412">
        <w:rPr>
          <w:rFonts w:ascii="Arial" w:hAnsi="Arial" w:cs="Arial"/>
          <w:sz w:val="20"/>
          <w:szCs w:val="20"/>
        </w:rPr>
        <w:t>, D.</w:t>
      </w:r>
      <w:r>
        <w:rPr>
          <w:rFonts w:ascii="Arial" w:hAnsi="Arial" w:cs="Arial"/>
          <w:sz w:val="20"/>
          <w:szCs w:val="20"/>
        </w:rPr>
        <w:t xml:space="preserve"> (University</w:t>
      </w:r>
      <w:r w:rsidR="00F5335C">
        <w:rPr>
          <w:rFonts w:ascii="Arial" w:hAnsi="Arial" w:cs="Arial"/>
          <w:sz w:val="20"/>
          <w:szCs w:val="20"/>
        </w:rPr>
        <w:t xml:space="preserve"> of Oxford</w:t>
      </w:r>
      <w:r w:rsidRPr="001E7584">
        <w:rPr>
          <w:rFonts w:ascii="Arial" w:hAnsi="Arial" w:cs="Arial"/>
          <w:sz w:val="20"/>
          <w:szCs w:val="20"/>
        </w:rPr>
        <w:t>, UK)</w:t>
      </w:r>
      <w:r w:rsidR="00CB1412">
        <w:rPr>
          <w:rFonts w:ascii="Arial" w:hAnsi="Arial" w:cs="Arial"/>
          <w:sz w:val="20"/>
          <w:szCs w:val="20"/>
        </w:rPr>
        <w:t xml:space="preserve">; </w:t>
      </w:r>
      <w:r w:rsidRPr="001E7584">
        <w:rPr>
          <w:rFonts w:ascii="Arial" w:hAnsi="Arial" w:cs="Arial"/>
          <w:sz w:val="20"/>
          <w:szCs w:val="20"/>
        </w:rPr>
        <w:t>Singleton</w:t>
      </w:r>
      <w:r w:rsidR="00CB1412">
        <w:rPr>
          <w:rFonts w:ascii="Arial" w:hAnsi="Arial" w:cs="Arial"/>
          <w:sz w:val="20"/>
          <w:szCs w:val="20"/>
        </w:rPr>
        <w:t>, J.</w:t>
      </w:r>
      <w:r w:rsidRPr="001E7584">
        <w:rPr>
          <w:rFonts w:ascii="Arial" w:hAnsi="Arial" w:cs="Arial"/>
          <w:sz w:val="20"/>
          <w:szCs w:val="20"/>
        </w:rPr>
        <w:t xml:space="preserve"> (NHMFL-LANL)</w:t>
      </w:r>
      <w:r w:rsidR="00465B49">
        <w:rPr>
          <w:rFonts w:ascii="Arial" w:hAnsi="Arial" w:cs="Arial"/>
          <w:sz w:val="20"/>
          <w:szCs w:val="20"/>
        </w:rPr>
        <w:t>.</w:t>
      </w:r>
    </w:p>
    <w:p w14:paraId="000D71C7" w14:textId="77777777" w:rsidR="001E7584" w:rsidRPr="006B3824" w:rsidRDefault="001E758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ED2868F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D80D653" w14:textId="77777777" w:rsidR="001E7584" w:rsidRPr="002426D5" w:rsidRDefault="001E7584" w:rsidP="00F5335C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2AADC03" w14:textId="5CFD158C" w:rsidR="001E7584" w:rsidRDefault="001E7584" w:rsidP="004E44A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Pr="008C3DD1">
        <w:rPr>
          <w:rFonts w:ascii="Arial" w:hAnsi="Arial" w:cs="Arial"/>
          <w:sz w:val="20"/>
          <w:szCs w:val="20"/>
        </w:rPr>
        <w:t xml:space="preserve">The family of </w:t>
      </w:r>
      <w:r w:rsidRPr="008C3DD1">
        <w:rPr>
          <w:rFonts w:ascii="Arial" w:hAnsi="Arial" w:cs="Arial"/>
          <w:i/>
          <w:sz w:val="20"/>
          <w:szCs w:val="20"/>
        </w:rPr>
        <w:t>Ln</w:t>
      </w:r>
      <w:r w:rsidRPr="008C3DD1">
        <w:rPr>
          <w:rFonts w:ascii="Arial" w:hAnsi="Arial" w:cs="Arial"/>
          <w:sz w:val="20"/>
          <w:szCs w:val="20"/>
          <w:vertAlign w:val="subscript"/>
        </w:rPr>
        <w:t>2</w:t>
      </w:r>
      <w:r w:rsidRPr="008C3DD1">
        <w:rPr>
          <w:rFonts w:ascii="Arial" w:hAnsi="Arial" w:cs="Arial"/>
          <w:sz w:val="20"/>
          <w:szCs w:val="20"/>
        </w:rPr>
        <w:t>Ir</w:t>
      </w:r>
      <w:r w:rsidRPr="008C3DD1">
        <w:rPr>
          <w:rFonts w:ascii="Arial" w:hAnsi="Arial" w:cs="Arial"/>
          <w:sz w:val="20"/>
          <w:szCs w:val="20"/>
          <w:vertAlign w:val="subscript"/>
        </w:rPr>
        <w:t>2</w:t>
      </w:r>
      <w:r w:rsidRPr="008C3DD1">
        <w:rPr>
          <w:rFonts w:ascii="Arial" w:hAnsi="Arial" w:cs="Arial"/>
          <w:sz w:val="20"/>
          <w:szCs w:val="20"/>
        </w:rPr>
        <w:t>O</w:t>
      </w:r>
      <w:r w:rsidRPr="008C3DD1">
        <w:rPr>
          <w:rFonts w:ascii="Arial" w:hAnsi="Arial" w:cs="Arial"/>
          <w:sz w:val="20"/>
          <w:szCs w:val="20"/>
          <w:vertAlign w:val="subscript"/>
        </w:rPr>
        <w:t>7</w:t>
      </w:r>
      <w:r w:rsidRPr="008C3DD1">
        <w:rPr>
          <w:rFonts w:ascii="Arial" w:hAnsi="Arial" w:cs="Arial"/>
          <w:sz w:val="20"/>
          <w:szCs w:val="20"/>
        </w:rPr>
        <w:t xml:space="preserve"> pyrochlore iridates (</w:t>
      </w:r>
      <w:r w:rsidRPr="008C3DD1">
        <w:rPr>
          <w:rFonts w:ascii="Arial" w:hAnsi="Arial" w:cs="Arial"/>
          <w:i/>
          <w:sz w:val="20"/>
          <w:szCs w:val="20"/>
        </w:rPr>
        <w:t>Ln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C3DD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Pr="008C3DD1">
        <w:rPr>
          <w:rFonts w:ascii="Arial" w:hAnsi="Arial" w:cs="Arial"/>
          <w:sz w:val="20"/>
          <w:szCs w:val="20"/>
        </w:rPr>
        <w:t>Nd–Ho) exhibits a met</w:t>
      </w:r>
      <w:r w:rsidR="000E1A3A">
        <w:rPr>
          <w:rFonts w:ascii="Arial" w:hAnsi="Arial" w:cs="Arial"/>
          <w:sz w:val="20"/>
          <w:szCs w:val="20"/>
        </w:rPr>
        <w:t>al-to-insulator transition</w:t>
      </w:r>
      <w:r w:rsidRPr="008C3DD1">
        <w:rPr>
          <w:rFonts w:ascii="Arial" w:hAnsi="Arial" w:cs="Arial"/>
          <w:sz w:val="20"/>
          <w:szCs w:val="20"/>
        </w:rPr>
        <w:t xml:space="preserve"> at a critical temperature </w:t>
      </w:r>
      <w:r w:rsidRPr="008C3DD1">
        <w:rPr>
          <w:rFonts w:ascii="Arial" w:hAnsi="Arial" w:cs="Arial"/>
          <w:i/>
          <w:sz w:val="20"/>
          <w:szCs w:val="20"/>
        </w:rPr>
        <w:t>T</w:t>
      </w:r>
      <w:r w:rsidRPr="008C3DD1">
        <w:rPr>
          <w:rFonts w:ascii="Arial" w:hAnsi="Arial" w:cs="Arial"/>
          <w:sz w:val="20"/>
          <w:szCs w:val="20"/>
          <w:vertAlign w:val="subscript"/>
        </w:rPr>
        <w:t>MI</w:t>
      </w:r>
      <w:r w:rsidR="004E44AA">
        <w:rPr>
          <w:rFonts w:ascii="Arial" w:hAnsi="Arial" w:cs="Arial"/>
          <w:sz w:val="20"/>
          <w:szCs w:val="20"/>
        </w:rPr>
        <w:t xml:space="preserve"> accompanied by </w:t>
      </w:r>
      <w:r w:rsidRPr="008C3DD1">
        <w:rPr>
          <w:rFonts w:ascii="Arial" w:hAnsi="Arial" w:cs="Arial"/>
          <w:sz w:val="20"/>
          <w:szCs w:val="20"/>
        </w:rPr>
        <w:t>magnetic o</w:t>
      </w:r>
      <w:r>
        <w:rPr>
          <w:rFonts w:ascii="Arial" w:hAnsi="Arial" w:cs="Arial"/>
          <w:sz w:val="20"/>
          <w:szCs w:val="20"/>
        </w:rPr>
        <w:t>rdering, see Fig</w:t>
      </w:r>
      <w:r w:rsidR="009025D7"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z w:val="20"/>
          <w:szCs w:val="20"/>
        </w:rPr>
        <w:t xml:space="preserve"> 1</w:t>
      </w:r>
      <w:r w:rsidRPr="008C3DD1">
        <w:rPr>
          <w:rFonts w:ascii="Arial" w:hAnsi="Arial" w:cs="Arial"/>
          <w:sz w:val="20"/>
          <w:szCs w:val="20"/>
        </w:rPr>
        <w:t xml:space="preserve">. Due </w:t>
      </w:r>
      <w:r w:rsidR="00500A96">
        <w:rPr>
          <w:rFonts w:ascii="Arial" w:hAnsi="Arial" w:cs="Arial"/>
          <w:sz w:val="20"/>
          <w:szCs w:val="20"/>
        </w:rPr>
        <w:t xml:space="preserve">to their lattice structure, which </w:t>
      </w:r>
      <w:r w:rsidRPr="008C3DD1">
        <w:rPr>
          <w:rFonts w:ascii="Arial" w:hAnsi="Arial" w:cs="Arial"/>
          <w:sz w:val="20"/>
          <w:szCs w:val="20"/>
        </w:rPr>
        <w:t>is composed of conne</w:t>
      </w:r>
      <w:bookmarkStart w:id="0" w:name="_GoBack"/>
      <w:bookmarkEnd w:id="0"/>
      <w:r w:rsidRPr="008C3DD1">
        <w:rPr>
          <w:rFonts w:ascii="Arial" w:hAnsi="Arial" w:cs="Arial"/>
          <w:sz w:val="20"/>
          <w:szCs w:val="20"/>
        </w:rPr>
        <w:t>cted tetrahed</w:t>
      </w:r>
      <w:r w:rsidR="00500A96">
        <w:rPr>
          <w:rFonts w:ascii="Arial" w:hAnsi="Arial" w:cs="Arial"/>
          <w:sz w:val="20"/>
          <w:szCs w:val="20"/>
        </w:rPr>
        <w:t>r</w:t>
      </w:r>
      <w:r w:rsidRPr="008C3DD1">
        <w:rPr>
          <w:rFonts w:ascii="Arial" w:hAnsi="Arial" w:cs="Arial"/>
          <w:sz w:val="20"/>
          <w:szCs w:val="20"/>
        </w:rPr>
        <w:t xml:space="preserve">a, the </w:t>
      </w:r>
      <w:r w:rsidRPr="008C3DD1">
        <w:rPr>
          <w:rFonts w:ascii="Arial" w:hAnsi="Arial" w:cs="Arial"/>
          <w:i/>
          <w:sz w:val="20"/>
          <w:szCs w:val="20"/>
        </w:rPr>
        <w:t>Ln</w:t>
      </w:r>
      <w:r w:rsidRPr="008C3DD1">
        <w:rPr>
          <w:rFonts w:ascii="Arial" w:hAnsi="Arial" w:cs="Arial"/>
          <w:sz w:val="20"/>
          <w:szCs w:val="20"/>
          <w:vertAlign w:val="subscript"/>
        </w:rPr>
        <w:t>2</w:t>
      </w:r>
      <w:r w:rsidRPr="008C3DD1">
        <w:rPr>
          <w:rFonts w:ascii="Arial" w:hAnsi="Arial" w:cs="Arial"/>
          <w:sz w:val="20"/>
          <w:szCs w:val="20"/>
        </w:rPr>
        <w:t>Ir</w:t>
      </w:r>
      <w:r w:rsidRPr="008C3DD1">
        <w:rPr>
          <w:rFonts w:ascii="Arial" w:hAnsi="Arial" w:cs="Arial"/>
          <w:sz w:val="20"/>
          <w:szCs w:val="20"/>
          <w:vertAlign w:val="subscript"/>
        </w:rPr>
        <w:t>2</w:t>
      </w:r>
      <w:r w:rsidRPr="008C3DD1">
        <w:rPr>
          <w:rFonts w:ascii="Arial" w:hAnsi="Arial" w:cs="Arial"/>
          <w:sz w:val="20"/>
          <w:szCs w:val="20"/>
        </w:rPr>
        <w:t>O</w:t>
      </w:r>
      <w:r w:rsidRPr="008C3DD1">
        <w:rPr>
          <w:rFonts w:ascii="Arial" w:hAnsi="Arial" w:cs="Arial"/>
          <w:sz w:val="20"/>
          <w:szCs w:val="20"/>
          <w:vertAlign w:val="subscript"/>
        </w:rPr>
        <w:t>7</w:t>
      </w:r>
      <w:r w:rsidRPr="008C3DD1">
        <w:rPr>
          <w:rFonts w:ascii="Arial" w:hAnsi="Arial" w:cs="Arial"/>
          <w:sz w:val="20"/>
          <w:szCs w:val="20"/>
        </w:rPr>
        <w:t xml:space="preserve"> compounds can host different configurations of</w:t>
      </w:r>
      <w:r w:rsidR="00500A96">
        <w:rPr>
          <w:rFonts w:ascii="Arial" w:hAnsi="Arial" w:cs="Arial"/>
          <w:sz w:val="20"/>
          <w:szCs w:val="20"/>
        </w:rPr>
        <w:t xml:space="preserve"> magnetic frustration that may</w:t>
      </w:r>
      <w:r w:rsidRPr="008C3DD1">
        <w:rPr>
          <w:rFonts w:ascii="Arial" w:hAnsi="Arial" w:cs="Arial"/>
          <w:sz w:val="20"/>
          <w:szCs w:val="20"/>
        </w:rPr>
        <w:t xml:space="preserve"> lead to novel electronic states such as a top</w:t>
      </w:r>
      <w:r>
        <w:rPr>
          <w:rFonts w:ascii="Arial" w:hAnsi="Arial" w:cs="Arial"/>
          <w:sz w:val="20"/>
          <w:szCs w:val="20"/>
        </w:rPr>
        <w:t>ological band structure or Weyl semimetal</w:t>
      </w:r>
      <w:r w:rsidRPr="008C3DD1">
        <w:rPr>
          <w:rFonts w:ascii="Arial" w:hAnsi="Arial" w:cs="Arial"/>
          <w:sz w:val="20"/>
          <w:szCs w:val="20"/>
        </w:rPr>
        <w:t xml:space="preserve"> beh</w:t>
      </w:r>
      <w:r w:rsidR="001F3EF8">
        <w:rPr>
          <w:rFonts w:ascii="Arial" w:hAnsi="Arial" w:cs="Arial"/>
          <w:sz w:val="20"/>
          <w:szCs w:val="20"/>
        </w:rPr>
        <w:t>avio</w:t>
      </w:r>
      <w:r w:rsidRPr="008C3DD1">
        <w:rPr>
          <w:rFonts w:ascii="Arial" w:hAnsi="Arial" w:cs="Arial"/>
          <w:sz w:val="20"/>
          <w:szCs w:val="20"/>
        </w:rPr>
        <w:t>r [1].</w:t>
      </w:r>
    </w:p>
    <w:p w14:paraId="0FC718DD" w14:textId="77777777" w:rsidR="00B75DC9" w:rsidRDefault="00B75DC9" w:rsidP="004E44AA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64118B7B" w14:textId="74308AC0" w:rsidR="002524EE" w:rsidRPr="006B3824" w:rsidRDefault="002524EE" w:rsidP="00F5335C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5A1F3177" w14:textId="1B2C9ECA" w:rsidR="002524EE" w:rsidRDefault="001F3EF8" w:rsidP="004E44A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25D7">
        <w:rPr>
          <w:rFonts w:ascii="Arial" w:hAnsi="Arial" w:cs="Arial"/>
          <w:sz w:val="20"/>
          <w:szCs w:val="20"/>
        </w:rPr>
        <w:t xml:space="preserve">Single crystals of the </w:t>
      </w:r>
      <w:r w:rsidR="009025D7" w:rsidRPr="008C3DD1">
        <w:rPr>
          <w:rFonts w:ascii="Arial" w:hAnsi="Arial" w:cs="Arial"/>
          <w:i/>
          <w:sz w:val="20"/>
          <w:szCs w:val="20"/>
        </w:rPr>
        <w:t>Ln</w:t>
      </w:r>
      <w:r w:rsidR="009025D7">
        <w:rPr>
          <w:rFonts w:ascii="Arial" w:hAnsi="Arial" w:cs="Arial"/>
          <w:i/>
          <w:sz w:val="20"/>
          <w:szCs w:val="20"/>
        </w:rPr>
        <w:t xml:space="preserve"> </w:t>
      </w:r>
      <w:r w:rsidR="009025D7" w:rsidRPr="008C3DD1">
        <w:rPr>
          <w:rFonts w:ascii="Arial" w:hAnsi="Arial" w:cs="Arial"/>
          <w:sz w:val="20"/>
          <w:szCs w:val="20"/>
        </w:rPr>
        <w:t>=</w:t>
      </w:r>
      <w:r w:rsidR="009025D7">
        <w:rPr>
          <w:rFonts w:ascii="Arial" w:hAnsi="Arial" w:cs="Arial"/>
          <w:sz w:val="20"/>
          <w:szCs w:val="20"/>
        </w:rPr>
        <w:t xml:space="preserve"> </w:t>
      </w:r>
      <w:r w:rsidR="009025D7" w:rsidRPr="008C3DD1">
        <w:rPr>
          <w:rFonts w:ascii="Arial" w:hAnsi="Arial" w:cs="Arial"/>
          <w:sz w:val="20"/>
          <w:szCs w:val="20"/>
        </w:rPr>
        <w:t>Nd</w:t>
      </w:r>
      <w:r w:rsidR="009025D7">
        <w:rPr>
          <w:rFonts w:ascii="Arial" w:hAnsi="Arial" w:cs="Arial"/>
          <w:sz w:val="20"/>
          <w:szCs w:val="20"/>
        </w:rPr>
        <w:t xml:space="preserve"> member of the family </w:t>
      </w:r>
      <w:r w:rsidR="000E1A3A">
        <w:rPr>
          <w:rFonts w:ascii="Arial" w:hAnsi="Arial" w:cs="Arial"/>
          <w:sz w:val="20"/>
          <w:szCs w:val="20"/>
        </w:rPr>
        <w:t>were prepared</w:t>
      </w:r>
      <w:r w:rsidR="009D5E19">
        <w:rPr>
          <w:rFonts w:ascii="Arial" w:hAnsi="Arial" w:cs="Arial"/>
          <w:sz w:val="20"/>
          <w:szCs w:val="20"/>
        </w:rPr>
        <w:t xml:space="preserve">. They </w:t>
      </w:r>
      <w:r w:rsidR="00500A96">
        <w:rPr>
          <w:rFonts w:ascii="Arial" w:hAnsi="Arial" w:cs="Arial"/>
          <w:sz w:val="20"/>
          <w:szCs w:val="20"/>
        </w:rPr>
        <w:t>grow in the form of</w:t>
      </w:r>
      <w:r w:rsidR="009025D7">
        <w:rPr>
          <w:rFonts w:ascii="Arial" w:hAnsi="Arial" w:cs="Arial"/>
          <w:sz w:val="20"/>
          <w:szCs w:val="20"/>
        </w:rPr>
        <w:t xml:space="preserve"> truncated octahedra</w:t>
      </w:r>
      <w:r w:rsidR="00500A96">
        <w:rPr>
          <w:rFonts w:ascii="Arial" w:hAnsi="Arial" w:cs="Arial"/>
          <w:sz w:val="20"/>
          <w:szCs w:val="20"/>
        </w:rPr>
        <w:t xml:space="preserve"> approximately 100 µm</w:t>
      </w:r>
      <w:r w:rsidR="000E1A3A">
        <w:rPr>
          <w:rFonts w:ascii="Arial" w:hAnsi="Arial" w:cs="Arial"/>
          <w:sz w:val="20"/>
          <w:szCs w:val="20"/>
        </w:rPr>
        <w:t xml:space="preserve"> on each edge.</w:t>
      </w:r>
      <w:r w:rsidR="009025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Preliminary compensated-coil magnetometry </w:t>
      </w:r>
      <w:r w:rsidR="000E1A3A">
        <w:rPr>
          <w:rFonts w:ascii="Arial" w:hAnsi="Arial" w:cs="Arial"/>
          <w:sz w:val="20"/>
          <w:szCs w:val="20"/>
        </w:rPr>
        <w:t xml:space="preserve">and electronic transport measurements </w:t>
      </w:r>
      <w:r>
        <w:rPr>
          <w:rFonts w:ascii="Arial" w:hAnsi="Arial" w:cs="Arial"/>
          <w:sz w:val="20"/>
          <w:szCs w:val="20"/>
        </w:rPr>
        <w:t xml:space="preserve">were performed </w:t>
      </w:r>
      <w:r w:rsidR="000E1A3A">
        <w:rPr>
          <w:rFonts w:ascii="Arial" w:hAnsi="Arial" w:cs="Arial"/>
          <w:sz w:val="20"/>
          <w:szCs w:val="20"/>
        </w:rPr>
        <w:t xml:space="preserve">on these samples </w:t>
      </w:r>
      <w:r>
        <w:rPr>
          <w:rFonts w:ascii="Arial" w:hAnsi="Arial" w:cs="Arial"/>
          <w:sz w:val="20"/>
          <w:szCs w:val="20"/>
        </w:rPr>
        <w:t xml:space="preserve">at </w:t>
      </w:r>
      <w:r w:rsidRPr="001F3EF8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He temperatures in the 65 T short-pulse magnets at NHMFL-LANL.</w:t>
      </w:r>
      <w:r w:rsidR="009025D7">
        <w:rPr>
          <w:rFonts w:ascii="Arial" w:hAnsi="Arial" w:cs="Arial"/>
          <w:sz w:val="20"/>
          <w:szCs w:val="20"/>
        </w:rPr>
        <w:t xml:space="preserve"> Several datasets were collected and, following a polynomial background subtraction, an oscillatory signal periodic in inverse magnetic field was isolated</w:t>
      </w:r>
      <w:r w:rsidR="000E1A3A">
        <w:rPr>
          <w:rFonts w:ascii="Arial" w:hAnsi="Arial" w:cs="Arial"/>
          <w:sz w:val="20"/>
          <w:szCs w:val="20"/>
        </w:rPr>
        <w:t xml:space="preserve"> from the magnetic susceptibility data</w:t>
      </w:r>
      <w:r w:rsidR="009025D7">
        <w:rPr>
          <w:rFonts w:ascii="Arial" w:hAnsi="Arial" w:cs="Arial"/>
          <w:sz w:val="20"/>
          <w:szCs w:val="20"/>
        </w:rPr>
        <w:t xml:space="preserve">. </w:t>
      </w:r>
    </w:p>
    <w:p w14:paraId="3F8F7546" w14:textId="77777777" w:rsidR="001F3EF8" w:rsidRPr="006B3824" w:rsidRDefault="001F3EF8" w:rsidP="004E44A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9B97912" w14:textId="77777777" w:rsidR="002524EE" w:rsidRPr="006B3824" w:rsidRDefault="002524EE" w:rsidP="00F5335C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6350EFA2" w14:textId="04EB9CB7" w:rsidR="009025D7" w:rsidRDefault="009025D7" w:rsidP="004E44A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oscillatory pa</w:t>
      </w:r>
      <w:r w:rsidR="000E1A3A">
        <w:rPr>
          <w:rFonts w:ascii="Arial" w:hAnsi="Arial" w:cs="Arial"/>
          <w:sz w:val="20"/>
          <w:szCs w:val="20"/>
        </w:rPr>
        <w:t>rt of the susceptibility data</w:t>
      </w:r>
      <w:r>
        <w:rPr>
          <w:rFonts w:ascii="Arial" w:hAnsi="Arial" w:cs="Arial"/>
          <w:sz w:val="20"/>
          <w:szCs w:val="20"/>
        </w:rPr>
        <w:t xml:space="preserve"> observed in multiple field pulses at 600 mK is consistent with de Haas-van Alphen oscillations showing two distinct frequencies of</w:t>
      </w:r>
      <w:r w:rsidR="009D5E19">
        <w:rPr>
          <w:rFonts w:ascii="Arial" w:hAnsi="Arial" w:cs="Arial"/>
          <w:sz w:val="20"/>
          <w:szCs w:val="20"/>
        </w:rPr>
        <w:t xml:space="preserve"> approximately 200 T and 800 T, </w:t>
      </w:r>
      <w:r>
        <w:rPr>
          <w:rFonts w:ascii="Arial" w:hAnsi="Arial" w:cs="Arial"/>
          <w:sz w:val="20"/>
          <w:szCs w:val="20"/>
        </w:rPr>
        <w:t>with the low</w:t>
      </w:r>
      <w:r w:rsidR="009D5E19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frequency dominating the low-field</w:t>
      </w:r>
      <w:r w:rsidR="004E44AA">
        <w:rPr>
          <w:rFonts w:ascii="Arial" w:hAnsi="Arial" w:cs="Arial"/>
          <w:sz w:val="20"/>
          <w:szCs w:val="20"/>
        </w:rPr>
        <w:t xml:space="preserve"> region</w:t>
      </w:r>
      <w:r>
        <w:rPr>
          <w:rFonts w:ascii="Arial" w:hAnsi="Arial" w:cs="Arial"/>
          <w:sz w:val="20"/>
          <w:szCs w:val="20"/>
        </w:rPr>
        <w:t xml:space="preserve">. </w:t>
      </w:r>
      <w:r w:rsidR="00500A96">
        <w:rPr>
          <w:rFonts w:ascii="Arial" w:hAnsi="Arial" w:cs="Arial"/>
          <w:sz w:val="20"/>
          <w:szCs w:val="20"/>
        </w:rPr>
        <w:t>This was</w:t>
      </w:r>
      <w:r>
        <w:rPr>
          <w:rFonts w:ascii="Arial" w:hAnsi="Arial" w:cs="Arial"/>
          <w:sz w:val="20"/>
          <w:szCs w:val="20"/>
        </w:rPr>
        <w:t xml:space="preserve"> deduced from a Fourier analysis of the data, </w:t>
      </w:r>
      <w:r w:rsidR="000E1A3A">
        <w:rPr>
          <w:rFonts w:ascii="Arial" w:hAnsi="Arial" w:cs="Arial"/>
          <w:sz w:val="20"/>
          <w:szCs w:val="20"/>
        </w:rPr>
        <w:t>as well as by determin</w:t>
      </w:r>
      <w:r>
        <w:rPr>
          <w:rFonts w:ascii="Arial" w:hAnsi="Arial" w:cs="Arial"/>
          <w:sz w:val="20"/>
          <w:szCs w:val="20"/>
        </w:rPr>
        <w:t xml:space="preserve">ing the positions of the maxima </w:t>
      </w:r>
      <w:r w:rsidR="000E1A3A">
        <w:rPr>
          <w:rFonts w:ascii="Arial" w:hAnsi="Arial" w:cs="Arial"/>
          <w:sz w:val="20"/>
          <w:szCs w:val="20"/>
        </w:rPr>
        <w:t xml:space="preserve">in the susceptibility </w:t>
      </w:r>
      <w:r>
        <w:rPr>
          <w:rFonts w:ascii="Arial" w:hAnsi="Arial" w:cs="Arial"/>
          <w:sz w:val="20"/>
          <w:szCs w:val="20"/>
        </w:rPr>
        <w:t xml:space="preserve">and by comparing the oscillatory part of the data with simulations, see Figure 2. </w:t>
      </w:r>
      <w:r w:rsidR="000E1A3A">
        <w:rPr>
          <w:rFonts w:ascii="Arial" w:hAnsi="Arial" w:cs="Arial"/>
          <w:sz w:val="20"/>
          <w:szCs w:val="20"/>
        </w:rPr>
        <w:t>Follow-up measurements are required to confirm these preliminary results, to map out the temperature and angle-dependence of the oscillations</w:t>
      </w:r>
      <w:r w:rsidR="004E44AA">
        <w:rPr>
          <w:rFonts w:ascii="Arial" w:hAnsi="Arial" w:cs="Arial"/>
          <w:sz w:val="20"/>
          <w:szCs w:val="20"/>
        </w:rPr>
        <w:t xml:space="preserve">, and </w:t>
      </w:r>
      <w:r w:rsidR="000E1A3A">
        <w:rPr>
          <w:rFonts w:ascii="Arial" w:hAnsi="Arial" w:cs="Arial"/>
          <w:sz w:val="20"/>
          <w:szCs w:val="20"/>
        </w:rPr>
        <w:t>comp</w:t>
      </w:r>
      <w:r w:rsidR="004E44AA">
        <w:rPr>
          <w:rFonts w:ascii="Arial" w:hAnsi="Arial" w:cs="Arial"/>
          <w:sz w:val="20"/>
          <w:szCs w:val="20"/>
        </w:rPr>
        <w:t>are</w:t>
      </w:r>
      <w:r w:rsidR="000E1A3A">
        <w:rPr>
          <w:rFonts w:ascii="Arial" w:hAnsi="Arial" w:cs="Arial"/>
          <w:sz w:val="20"/>
          <w:szCs w:val="20"/>
        </w:rPr>
        <w:t xml:space="preserve"> with other members of the family.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06054D" w14:textId="77777777" w:rsidR="009025D7" w:rsidRDefault="009025D7" w:rsidP="004E44A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20B35D1" w14:textId="77777777" w:rsidR="00E25473" w:rsidRPr="006B3824" w:rsidRDefault="00E25473" w:rsidP="00F5335C">
      <w:pPr>
        <w:tabs>
          <w:tab w:val="left" w:pos="3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631C6E90" w14:textId="2248B381" w:rsidR="00E25473" w:rsidRPr="000E1A3A" w:rsidRDefault="006B3824" w:rsidP="004E44A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1A3A">
        <w:rPr>
          <w:rFonts w:ascii="Arial" w:hAnsi="Arial" w:cs="Arial"/>
          <w:sz w:val="20"/>
          <w:szCs w:val="20"/>
        </w:rPr>
        <w:t xml:space="preserve">Preliminary results suggest that we have observed de Haas-van Alphen oscillations in </w:t>
      </w:r>
      <w:r w:rsidR="000E1A3A" w:rsidRPr="000E1A3A">
        <w:rPr>
          <w:rFonts w:ascii="Arial" w:hAnsi="Arial" w:cs="Arial"/>
          <w:sz w:val="20"/>
          <w:szCs w:val="20"/>
        </w:rPr>
        <w:t>Nd</w:t>
      </w:r>
      <w:r w:rsidR="000E1A3A" w:rsidRPr="008C3DD1">
        <w:rPr>
          <w:rFonts w:ascii="Arial" w:hAnsi="Arial" w:cs="Arial"/>
          <w:sz w:val="20"/>
          <w:szCs w:val="20"/>
          <w:vertAlign w:val="subscript"/>
        </w:rPr>
        <w:t>2</w:t>
      </w:r>
      <w:r w:rsidR="000E1A3A" w:rsidRPr="008C3DD1">
        <w:rPr>
          <w:rFonts w:ascii="Arial" w:hAnsi="Arial" w:cs="Arial"/>
          <w:sz w:val="20"/>
          <w:szCs w:val="20"/>
        </w:rPr>
        <w:t>Ir</w:t>
      </w:r>
      <w:r w:rsidR="000E1A3A" w:rsidRPr="008C3DD1">
        <w:rPr>
          <w:rFonts w:ascii="Arial" w:hAnsi="Arial" w:cs="Arial"/>
          <w:sz w:val="20"/>
          <w:szCs w:val="20"/>
          <w:vertAlign w:val="subscript"/>
        </w:rPr>
        <w:t>2</w:t>
      </w:r>
      <w:r w:rsidR="000E1A3A" w:rsidRPr="008C3DD1">
        <w:rPr>
          <w:rFonts w:ascii="Arial" w:hAnsi="Arial" w:cs="Arial"/>
          <w:sz w:val="20"/>
          <w:szCs w:val="20"/>
        </w:rPr>
        <w:t>O</w:t>
      </w:r>
      <w:r w:rsidR="000E1A3A" w:rsidRPr="008C3DD1">
        <w:rPr>
          <w:rFonts w:ascii="Arial" w:hAnsi="Arial" w:cs="Arial"/>
          <w:sz w:val="20"/>
          <w:szCs w:val="20"/>
          <w:vertAlign w:val="subscript"/>
        </w:rPr>
        <w:t>7</w:t>
      </w:r>
      <w:r w:rsidR="004E44AA">
        <w:rPr>
          <w:rFonts w:ascii="Arial" w:hAnsi="Arial" w:cs="Arial"/>
          <w:sz w:val="20"/>
          <w:szCs w:val="20"/>
        </w:rPr>
        <w:t xml:space="preserve"> </w:t>
      </w:r>
      <w:r w:rsidR="000E1A3A">
        <w:rPr>
          <w:rFonts w:ascii="Arial" w:hAnsi="Arial" w:cs="Arial"/>
          <w:sz w:val="20"/>
          <w:szCs w:val="20"/>
        </w:rPr>
        <w:t xml:space="preserve">following suppression of the </w:t>
      </w:r>
      <w:r w:rsidR="004E44AA">
        <w:rPr>
          <w:rFonts w:ascii="Arial" w:hAnsi="Arial" w:cs="Arial"/>
          <w:sz w:val="20"/>
          <w:szCs w:val="20"/>
        </w:rPr>
        <w:t>low-temperature insulating state using high magnetic fields. Further work is required to confirm the observation and elucidate the Ferm</w:t>
      </w:r>
      <w:r w:rsidR="00500A96">
        <w:rPr>
          <w:rFonts w:ascii="Arial" w:hAnsi="Arial" w:cs="Arial"/>
          <w:sz w:val="20"/>
          <w:szCs w:val="20"/>
        </w:rPr>
        <w:t>i-</w:t>
      </w:r>
      <w:r w:rsidR="004E44AA">
        <w:rPr>
          <w:rFonts w:ascii="Arial" w:hAnsi="Arial" w:cs="Arial"/>
          <w:sz w:val="20"/>
          <w:szCs w:val="20"/>
        </w:rPr>
        <w:t>surface characteristics.</w:t>
      </w:r>
    </w:p>
    <w:p w14:paraId="54CA69C5" w14:textId="77777777" w:rsidR="00734E94" w:rsidRPr="006B3824" w:rsidRDefault="00734E94" w:rsidP="004E44A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4489423" w14:textId="77777777" w:rsidR="00FB4399" w:rsidRDefault="00E25473" w:rsidP="00F5335C">
      <w:pPr>
        <w:tabs>
          <w:tab w:val="left" w:pos="3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7C41AA0C" w14:textId="41272FA0" w:rsidR="001F3EF8" w:rsidRPr="001F3EF8" w:rsidRDefault="00FB4399" w:rsidP="004E44AA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val="en-GB"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1F3EF8">
        <w:rPr>
          <w:rFonts w:ascii="Arial" w:eastAsia="Times New Roman" w:hAnsi="Arial" w:cs="Arial"/>
          <w:sz w:val="20"/>
          <w:szCs w:val="20"/>
          <w:lang w:val="en-GB" w:eastAsia="en-US"/>
        </w:rPr>
        <w:t>T</w:t>
      </w:r>
      <w:r w:rsidR="001F3EF8" w:rsidRPr="001F3EF8">
        <w:rPr>
          <w:rFonts w:ascii="Arial" w:eastAsia="Times New Roman" w:hAnsi="Arial" w:cs="Arial"/>
          <w:sz w:val="20"/>
          <w:szCs w:val="20"/>
          <w:lang w:val="en-GB" w:eastAsia="en-US"/>
        </w:rPr>
        <w:t>his project has received funding from the European Researc</w:t>
      </w:r>
      <w:r w:rsidR="001F3EF8">
        <w:rPr>
          <w:rFonts w:ascii="Arial" w:eastAsia="Times New Roman" w:hAnsi="Arial" w:cs="Arial"/>
          <w:sz w:val="20"/>
          <w:szCs w:val="20"/>
          <w:lang w:val="en-GB" w:eastAsia="en-US"/>
        </w:rPr>
        <w:t>h Council (ERC) under the Euro</w:t>
      </w:r>
      <w:r w:rsidR="001F3EF8" w:rsidRPr="001F3EF8">
        <w:rPr>
          <w:rFonts w:ascii="Arial" w:eastAsia="Times New Roman" w:hAnsi="Arial" w:cs="Arial"/>
          <w:sz w:val="20"/>
          <w:szCs w:val="20"/>
          <w:lang w:val="en-GB" w:eastAsia="en-US"/>
        </w:rPr>
        <w:t>pean Union’s Horizon 20</w:t>
      </w:r>
      <w:r w:rsidR="001F3EF8">
        <w:rPr>
          <w:rFonts w:ascii="Arial" w:eastAsia="Times New Roman" w:hAnsi="Arial" w:cs="Arial"/>
          <w:sz w:val="20"/>
          <w:szCs w:val="20"/>
          <w:lang w:val="en-GB" w:eastAsia="en-US"/>
        </w:rPr>
        <w:t>20 research and innovation pro</w:t>
      </w:r>
      <w:r w:rsidR="001F3EF8" w:rsidRPr="001F3EF8">
        <w:rPr>
          <w:rFonts w:ascii="Arial" w:eastAsia="Times New Roman" w:hAnsi="Arial" w:cs="Arial"/>
          <w:sz w:val="20"/>
          <w:szCs w:val="20"/>
          <w:lang w:val="en-GB" w:eastAsia="en-US"/>
        </w:rPr>
        <w:t xml:space="preserve">gramme (grant agreement No. 681260). </w:t>
      </w:r>
    </w:p>
    <w:p w14:paraId="795ADC36" w14:textId="1341DB97" w:rsidR="00E25473" w:rsidRPr="001F3EF8" w:rsidRDefault="00E25473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14:paraId="2DBEEB3F" w14:textId="77777777" w:rsidR="00E25473" w:rsidRPr="006B3824" w:rsidRDefault="00E25473" w:rsidP="00F5335C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4EB35BEF" w14:textId="091AA7DA" w:rsidR="001F3EF8" w:rsidRDefault="001F3EF8" w:rsidP="001F3EF8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  <w:r w:rsidRPr="001F3EF8">
        <w:rPr>
          <w:rFonts w:ascii="Arial" w:hAnsi="Arial" w:cs="Arial"/>
          <w:sz w:val="20"/>
          <w:szCs w:val="20"/>
          <w:lang w:val="en-GB"/>
        </w:rPr>
        <w:t xml:space="preserve">[1] W Witczak-Krempa </w:t>
      </w:r>
      <w:r w:rsidRPr="001F3EF8">
        <w:rPr>
          <w:rFonts w:ascii="Arial" w:hAnsi="Arial" w:cs="Arial"/>
          <w:i/>
          <w:sz w:val="20"/>
          <w:szCs w:val="20"/>
          <w:lang w:val="en-GB"/>
        </w:rPr>
        <w:t>et al</w:t>
      </w:r>
      <w:r w:rsidRPr="001F3EF8">
        <w:rPr>
          <w:rFonts w:ascii="Arial" w:hAnsi="Arial" w:cs="Arial"/>
          <w:sz w:val="20"/>
          <w:szCs w:val="20"/>
          <w:lang w:val="en-GB"/>
        </w:rPr>
        <w:t xml:space="preserve">., Annu. Rev. Con. Mat. Phys. </w:t>
      </w:r>
      <w:r w:rsidRPr="001F3EF8">
        <w:rPr>
          <w:rFonts w:ascii="Arial" w:hAnsi="Arial" w:cs="Arial"/>
          <w:b/>
          <w:sz w:val="20"/>
          <w:szCs w:val="20"/>
          <w:lang w:val="en-GB"/>
        </w:rPr>
        <w:t>5</w:t>
      </w:r>
      <w:r w:rsidRPr="001F3EF8">
        <w:rPr>
          <w:rFonts w:ascii="Arial" w:hAnsi="Arial" w:cs="Arial"/>
          <w:sz w:val="20"/>
          <w:szCs w:val="20"/>
          <w:lang w:val="en-GB"/>
        </w:rPr>
        <w:t xml:space="preserve">, 57 (2014) </w:t>
      </w:r>
    </w:p>
    <w:p w14:paraId="11D58C92" w14:textId="6F40769A" w:rsidR="004E44AA" w:rsidRDefault="001F3EF8" w:rsidP="0049187D">
      <w:pPr>
        <w:tabs>
          <w:tab w:val="left" w:pos="360"/>
        </w:tabs>
        <w:rPr>
          <w:rFonts w:ascii="MS Mincho" w:hAnsi="MS Mincho" w:cs="MS Mincho"/>
          <w:sz w:val="20"/>
          <w:szCs w:val="20"/>
          <w:lang w:val="en-GB"/>
        </w:rPr>
      </w:pPr>
      <w:r w:rsidRPr="001F3EF8">
        <w:rPr>
          <w:rFonts w:ascii="Arial" w:hAnsi="Arial" w:cs="Arial"/>
          <w:sz w:val="20"/>
          <w:szCs w:val="20"/>
          <w:lang w:val="en-GB"/>
        </w:rPr>
        <w:t xml:space="preserve">[2] K Matsuhira </w:t>
      </w:r>
      <w:r w:rsidRPr="001F3EF8">
        <w:rPr>
          <w:rFonts w:ascii="Arial" w:hAnsi="Arial" w:cs="Arial"/>
          <w:i/>
          <w:sz w:val="20"/>
          <w:szCs w:val="20"/>
          <w:lang w:val="en-GB"/>
        </w:rPr>
        <w:t>et al</w:t>
      </w:r>
      <w:r w:rsidRPr="001F3EF8">
        <w:rPr>
          <w:rFonts w:ascii="Arial" w:hAnsi="Arial" w:cs="Arial"/>
          <w:sz w:val="20"/>
          <w:szCs w:val="20"/>
          <w:lang w:val="en-GB"/>
        </w:rPr>
        <w:t xml:space="preserve">., J. Phys. Soc. Jpn. </w:t>
      </w:r>
      <w:r w:rsidRPr="001F3EF8">
        <w:rPr>
          <w:rFonts w:ascii="Arial" w:hAnsi="Arial" w:cs="Arial"/>
          <w:b/>
          <w:sz w:val="20"/>
          <w:szCs w:val="20"/>
          <w:lang w:val="en-GB"/>
        </w:rPr>
        <w:t>80</w:t>
      </w:r>
      <w:r w:rsidRPr="001F3EF8">
        <w:rPr>
          <w:rFonts w:ascii="Arial" w:hAnsi="Arial" w:cs="Arial"/>
          <w:sz w:val="20"/>
          <w:szCs w:val="20"/>
          <w:lang w:val="en-GB"/>
        </w:rPr>
        <w:t>, 094701 (2011).</w:t>
      </w:r>
      <w:r w:rsidRPr="001F3EF8">
        <w:rPr>
          <w:rFonts w:ascii="MS Mincho" w:hAnsi="MS Mincho" w:cs="MS Mincho"/>
          <w:sz w:val="20"/>
          <w:szCs w:val="20"/>
          <w:lang w:val="en-GB"/>
        </w:rPr>
        <w:t> </w:t>
      </w:r>
    </w:p>
    <w:p w14:paraId="07C64E85" w14:textId="1712EAE2" w:rsidR="009D5E19" w:rsidRPr="009D5E19" w:rsidRDefault="00BD7128" w:rsidP="0049187D">
      <w:pPr>
        <w:tabs>
          <w:tab w:val="left" w:pos="360"/>
        </w:tabs>
        <w:rPr>
          <w:rFonts w:ascii="MS Mincho" w:hAnsi="MS Mincho" w:cs="MS Mincho"/>
          <w:sz w:val="18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752" behindDoc="0" locked="0" layoutInCell="1" allowOverlap="1" wp14:anchorId="138B61C2" wp14:editId="29427257">
            <wp:simplePos x="0" y="0"/>
            <wp:positionH relativeFrom="margin">
              <wp:posOffset>3188335</wp:posOffset>
            </wp:positionH>
            <wp:positionV relativeFrom="margin">
              <wp:posOffset>6123305</wp:posOffset>
            </wp:positionV>
            <wp:extent cx="2794635" cy="21386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84A63" w14:textId="11CA456F" w:rsidR="00F908F6" w:rsidRPr="006B3824" w:rsidRDefault="00A43205" w:rsidP="004E44A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n-US"/>
        </w:rPr>
        <w:drawing>
          <wp:inline distT="0" distB="0" distL="0" distR="0" wp14:anchorId="17D679AF" wp14:editId="1A06F78F">
            <wp:extent cx="2362835" cy="19849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n2Ir2O7_phasediagram_Matsuhi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14" cy="20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1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581E4" wp14:editId="59E9EE2F">
                <wp:simplePos x="0" y="0"/>
                <wp:positionH relativeFrom="column">
                  <wp:posOffset>-50165</wp:posOffset>
                </wp:positionH>
                <wp:positionV relativeFrom="paragraph">
                  <wp:posOffset>1994747</wp:posOffset>
                </wp:positionV>
                <wp:extent cx="3048635" cy="374015"/>
                <wp:effectExtent l="0" t="0" r="0" b="6985"/>
                <wp:wrapThrough wrapText="bothSides">
                  <wp:wrapPolygon edited="0">
                    <wp:start x="0" y="0"/>
                    <wp:lineTo x="0" y="20537"/>
                    <wp:lineTo x="21416" y="20537"/>
                    <wp:lineTo x="2141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84CC3" w14:textId="097FDE05" w:rsidR="00376D2C" w:rsidRPr="00376D2C" w:rsidRDefault="00376D2C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Phas</w:t>
                            </w:r>
                            <w:r w:rsidR="00BD71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diagram of</w:t>
                            </w:r>
                            <w:r w:rsidR="001F3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3EF8" w:rsidRPr="001F3EF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Ln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7</w:t>
                            </w:r>
                            <w:r w:rsidR="001F3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F3EF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MI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suppressed with increasing ionic radius of </w:t>
                            </w:r>
                            <w:r w:rsidR="001F3EF8" w:rsidRPr="00BD712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Ln</w:t>
                            </w:r>
                            <w:r w:rsidR="001F3EF8" w:rsidRPr="001F3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Figure taken from [2]</w:t>
                            </w:r>
                            <w:r w:rsidR="001F3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C581E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3.95pt;margin-top:157.05pt;width:240.05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" stroked="f">
                <v:textbox>
                  <w:txbxContent>
                    <w:p w14:paraId="71284CC3" w14:textId="097FDE05" w:rsidR="00376D2C" w:rsidRPr="00376D2C" w:rsidRDefault="00376D2C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</w:rPr>
                        <w:t>Phas</w:t>
                      </w:r>
                      <w:r w:rsidR="00BD7128">
                        <w:rPr>
                          <w:rFonts w:ascii="Arial" w:hAnsi="Arial" w:cs="Arial"/>
                          <w:sz w:val="18"/>
                          <w:szCs w:val="18"/>
                        </w:rPr>
                        <w:t>e diagram of</w:t>
                      </w:r>
                      <w:r w:rsidR="001F3E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F3EF8" w:rsidRPr="001F3EF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Ln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</w:rPr>
                        <w:t>Ir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7</w:t>
                      </w:r>
                      <w:r w:rsidR="001F3E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1F3EF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MI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suppressed with increasing ionic radius of </w:t>
                      </w:r>
                      <w:r w:rsidR="001F3EF8" w:rsidRPr="00BD712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Ln</w:t>
                      </w:r>
                      <w:r w:rsidR="001F3EF8" w:rsidRPr="001F3EF8">
                        <w:rPr>
                          <w:rFonts w:ascii="Arial" w:hAnsi="Arial" w:cs="Arial"/>
                          <w:sz w:val="18"/>
                          <w:szCs w:val="18"/>
                        </w:rPr>
                        <w:t>. Figure taken from [2]</w:t>
                      </w:r>
                      <w:r w:rsidR="001F3EF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71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E4BB51" wp14:editId="473683C5">
                <wp:simplePos x="0" y="0"/>
                <wp:positionH relativeFrom="column">
                  <wp:posOffset>3315335</wp:posOffset>
                </wp:positionH>
                <wp:positionV relativeFrom="paragraph">
                  <wp:posOffset>2009775</wp:posOffset>
                </wp:positionV>
                <wp:extent cx="3175635" cy="3657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6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A52BC" w14:textId="5B6FF800" w:rsidR="00BD7128" w:rsidRPr="00BD7128" w:rsidRDefault="00BD71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D71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Comparison of oscillatory part of magnetic susceptibility and simulated de Haas-van Alphen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E4BB51" id="Text_x0020_Box_x0020_10" o:spid="_x0000_s1027" type="#_x0000_t202" style="position:absolute;margin-left:261.05pt;margin-top:158.25pt;width:250.05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" filled="f" stroked="f">
                <v:textbox>
                  <w:txbxContent>
                    <w:p w14:paraId="7B2A52BC" w14:textId="5B6FF800" w:rsidR="00BD7128" w:rsidRPr="00BD7128" w:rsidRDefault="00BD71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D71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Comparison of oscillatory part of magnetic susceptibility and simulated de Haas-van Alphen data.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08F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5A7C" w14:textId="77777777" w:rsidR="00DD5038" w:rsidRDefault="00DD5038">
      <w:r>
        <w:separator/>
      </w:r>
    </w:p>
  </w:endnote>
  <w:endnote w:type="continuationSeparator" w:id="0">
    <w:p w14:paraId="4577A2BD" w14:textId="77777777" w:rsidR="00DD5038" w:rsidRDefault="00DD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F8619" w14:textId="77777777" w:rsidR="00DD5038" w:rsidRDefault="00DD5038">
      <w:r>
        <w:separator/>
      </w:r>
    </w:p>
  </w:footnote>
  <w:footnote w:type="continuationSeparator" w:id="0">
    <w:p w14:paraId="1835889B" w14:textId="77777777" w:rsidR="00DD5038" w:rsidRDefault="00DD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316FE" w14:textId="1AB76791" w:rsidR="00F974C6" w:rsidRDefault="000E2EC5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F75C65" wp14:editId="1C7DA1DD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8CE6A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2BB386CF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4F75C65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8nI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TrYjop5+likmbldTlLi7K4XX8PAWZF1QrGuLoTih8VmBV/x/ChF0btRA2ivsblNJ+O&#10;FP0xyTR+v0uyEx4aUoquxouTE6kCsa8Vg7RJ5YmQ4zz5OfxYZajB8R+rEmUQmB814IfNAChBGxvN&#10;HkEQVgNfwDq8IjBptf2KUQ8dWWP3ZUcsx0i+VSCqMiuK0MJxUUznOSzsuWVzbiGKAlSNPUbj9MaP&#10;bb8zVmxbuGmUsdJXIMRGRI08RXWQL3RdTObwQoS2Pl9Hr6d3bPUD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JLLyc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2D18CE6A" w14:textId="77777777"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14:paraId="2BB386CF" w14:textId="77777777"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0A070DA" wp14:editId="453F7728">
          <wp:extent cx="520700" cy="622300"/>
          <wp:effectExtent l="0" t="0" r="12700" b="1270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91A2B"/>
    <w:rsid w:val="000A1716"/>
    <w:rsid w:val="000A59A8"/>
    <w:rsid w:val="000E1A3A"/>
    <w:rsid w:val="000E1D4F"/>
    <w:rsid w:val="000E2EC5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0AF1"/>
    <w:rsid w:val="001A1959"/>
    <w:rsid w:val="001D59E4"/>
    <w:rsid w:val="001E526E"/>
    <w:rsid w:val="001E5ECF"/>
    <w:rsid w:val="001E6BF4"/>
    <w:rsid w:val="001E7584"/>
    <w:rsid w:val="001F3EF8"/>
    <w:rsid w:val="00231335"/>
    <w:rsid w:val="00233F11"/>
    <w:rsid w:val="00241739"/>
    <w:rsid w:val="002426D5"/>
    <w:rsid w:val="002524EE"/>
    <w:rsid w:val="00265A15"/>
    <w:rsid w:val="00290223"/>
    <w:rsid w:val="002A3BF2"/>
    <w:rsid w:val="002C7675"/>
    <w:rsid w:val="00306550"/>
    <w:rsid w:val="00312C04"/>
    <w:rsid w:val="00334CEB"/>
    <w:rsid w:val="003560D2"/>
    <w:rsid w:val="00363C8F"/>
    <w:rsid w:val="00376D2C"/>
    <w:rsid w:val="00393065"/>
    <w:rsid w:val="003A0C36"/>
    <w:rsid w:val="003A1FF5"/>
    <w:rsid w:val="003C6493"/>
    <w:rsid w:val="003E2F8E"/>
    <w:rsid w:val="003F55A7"/>
    <w:rsid w:val="003F6E7E"/>
    <w:rsid w:val="00410D2C"/>
    <w:rsid w:val="00420894"/>
    <w:rsid w:val="00450C97"/>
    <w:rsid w:val="00465B49"/>
    <w:rsid w:val="004833B1"/>
    <w:rsid w:val="00486FF9"/>
    <w:rsid w:val="0049187D"/>
    <w:rsid w:val="00491C5D"/>
    <w:rsid w:val="004A227C"/>
    <w:rsid w:val="004E44AA"/>
    <w:rsid w:val="004F160B"/>
    <w:rsid w:val="004F294C"/>
    <w:rsid w:val="004F709E"/>
    <w:rsid w:val="00500A96"/>
    <w:rsid w:val="005034C0"/>
    <w:rsid w:val="00507752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1745"/>
    <w:rsid w:val="00774A49"/>
    <w:rsid w:val="007C0813"/>
    <w:rsid w:val="007D3105"/>
    <w:rsid w:val="007E2F28"/>
    <w:rsid w:val="00862CB5"/>
    <w:rsid w:val="00883638"/>
    <w:rsid w:val="00892DA4"/>
    <w:rsid w:val="008A1D84"/>
    <w:rsid w:val="008B05B8"/>
    <w:rsid w:val="008C5788"/>
    <w:rsid w:val="008E5BC5"/>
    <w:rsid w:val="008E5C85"/>
    <w:rsid w:val="008F35CC"/>
    <w:rsid w:val="008F6083"/>
    <w:rsid w:val="009025D7"/>
    <w:rsid w:val="009648AC"/>
    <w:rsid w:val="009A39F6"/>
    <w:rsid w:val="009A3F73"/>
    <w:rsid w:val="009B41B2"/>
    <w:rsid w:val="009C318D"/>
    <w:rsid w:val="009C3DF0"/>
    <w:rsid w:val="009C7F31"/>
    <w:rsid w:val="009D39A4"/>
    <w:rsid w:val="009D5E19"/>
    <w:rsid w:val="009E4F1E"/>
    <w:rsid w:val="00A1227A"/>
    <w:rsid w:val="00A43205"/>
    <w:rsid w:val="00A55035"/>
    <w:rsid w:val="00A758E6"/>
    <w:rsid w:val="00A94FC4"/>
    <w:rsid w:val="00A97CB0"/>
    <w:rsid w:val="00AC297F"/>
    <w:rsid w:val="00AC4AFE"/>
    <w:rsid w:val="00AD3CDD"/>
    <w:rsid w:val="00AD6D3C"/>
    <w:rsid w:val="00AE142B"/>
    <w:rsid w:val="00AF7C63"/>
    <w:rsid w:val="00B00CDB"/>
    <w:rsid w:val="00B25D4D"/>
    <w:rsid w:val="00B31401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D0E75"/>
    <w:rsid w:val="00BD7128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412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D44E5"/>
    <w:rsid w:val="00DD5038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335C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5BE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500A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500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46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cp:lastModifiedBy>Anke Toth</cp:lastModifiedBy>
  <cp:revision>10</cp:revision>
  <cp:lastPrinted>2017-12-12T12:48:00Z</cp:lastPrinted>
  <dcterms:created xsi:type="dcterms:W3CDTF">2017-12-12T11:33:00Z</dcterms:created>
  <dcterms:modified xsi:type="dcterms:W3CDTF">2018-04-10T13:13:00Z</dcterms:modified>
</cp:coreProperties>
</file>